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EF0B1F">
      <w:pPr>
        <w:jc w:val="center"/>
        <w:rPr>
          <w:rFonts w:ascii="Arial" w:hAnsi="Arial" w:cs="Arial"/>
          <w:b/>
        </w:rPr>
      </w:pPr>
      <w:r>
        <w:rPr>
          <w:rFonts w:ascii="Arial" w:hAnsi="Arial" w:cs="Arial"/>
          <w:b/>
          <w:noProof/>
        </w:rPr>
        <w:drawing>
          <wp:inline distT="0" distB="0" distL="0" distR="0">
            <wp:extent cx="28575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SC_Logo_300px_RGB.jpg"/>
                    <pic:cNvPicPr/>
                  </pic:nvPicPr>
                  <pic:blipFill>
                    <a:blip r:embed="rId8">
                      <a:extLst>
                        <a:ext uri="{28A0092B-C50C-407E-A947-70E740481C1C}">
                          <a14:useLocalDpi xmlns:a14="http://schemas.microsoft.com/office/drawing/2010/main" val="0"/>
                        </a:ext>
                      </a:extLst>
                    </a:blip>
                    <a:stretch>
                      <a:fillRect/>
                    </a:stretch>
                  </pic:blipFill>
                  <pic:spPr>
                    <a:xfrm>
                      <a:off x="0" y="0"/>
                      <a:ext cx="2857500" cy="847725"/>
                    </a:xfrm>
                    <a:prstGeom prst="rect">
                      <a:avLst/>
                    </a:prstGeom>
                  </pic:spPr>
                </pic:pic>
              </a:graphicData>
            </a:graphic>
          </wp:inline>
        </w:drawing>
      </w:r>
    </w:p>
    <w:p w:rsidR="00B724DA" w:rsidRDefault="00B724DA">
      <w:pPr>
        <w:jc w:val="center"/>
        <w:rPr>
          <w:rFonts w:ascii="Arial" w:hAnsi="Arial" w:cs="Arial"/>
          <w:b/>
          <w:sz w:val="28"/>
        </w:rPr>
      </w:pPr>
    </w:p>
    <w:p w:rsidR="00B724DA" w:rsidRDefault="00B724DA" w:rsidP="00EF0B1F">
      <w:pPr>
        <w:rPr>
          <w:rFonts w:ascii="Arial" w:hAnsi="Arial" w:cs="Arial"/>
          <w:b/>
          <w:sz w:val="28"/>
        </w:rPr>
      </w:pPr>
    </w:p>
    <w:p w:rsidR="00B724DA" w:rsidRDefault="00B724DA">
      <w:pPr>
        <w:jc w:val="center"/>
        <w:rPr>
          <w:rFonts w:ascii="Arial" w:hAnsi="Arial" w:cs="Arial"/>
          <w:b/>
          <w:sz w:val="28"/>
        </w:rPr>
      </w:pPr>
    </w:p>
    <w:p w:rsidR="00B724DA" w:rsidRDefault="00B724DA">
      <w:pPr>
        <w:jc w:val="center"/>
        <w:rPr>
          <w:rFonts w:ascii="Arial" w:hAnsi="Arial" w:cs="Arial"/>
          <w:b/>
          <w:sz w:val="28"/>
        </w:rPr>
      </w:pPr>
    </w:p>
    <w:p w:rsidR="00B724DA" w:rsidRDefault="00B724DA">
      <w:pPr>
        <w:jc w:val="center"/>
        <w:rPr>
          <w:rFonts w:ascii="Arial" w:hAnsi="Arial" w:cs="Arial"/>
          <w:b/>
          <w:sz w:val="28"/>
        </w:rPr>
      </w:pPr>
      <w:r>
        <w:rPr>
          <w:rFonts w:ascii="Arial" w:hAnsi="Arial" w:cs="Arial"/>
          <w:b/>
          <w:sz w:val="28"/>
        </w:rPr>
        <w:t>INVESTMENT POLICY</w:t>
      </w:r>
    </w:p>
    <w:p w:rsidR="00B724DA" w:rsidRDefault="00B724DA">
      <w:pPr>
        <w:jc w:val="center"/>
        <w:rPr>
          <w:rFonts w:ascii="Arial" w:hAnsi="Arial" w:cs="Arial"/>
          <w:b/>
          <w:sz w:val="28"/>
        </w:rPr>
      </w:pPr>
    </w:p>
    <w:p w:rsidR="00B724DA" w:rsidRDefault="00B724DA">
      <w:pPr>
        <w:jc w:val="center"/>
        <w:rPr>
          <w:rFonts w:ascii="Arial" w:hAnsi="Arial" w:cs="Arial"/>
          <w:b/>
          <w:sz w:val="28"/>
        </w:rPr>
      </w:pPr>
    </w:p>
    <w:p w:rsidR="00B724DA" w:rsidRDefault="00B724DA">
      <w:pPr>
        <w:jc w:val="center"/>
        <w:rPr>
          <w:rFonts w:ascii="Arial" w:hAnsi="Arial" w:cs="Arial"/>
          <w:b/>
          <w:sz w:val="28"/>
        </w:rPr>
      </w:pPr>
      <w:r>
        <w:rPr>
          <w:rFonts w:ascii="Arial" w:hAnsi="Arial" w:cs="Arial"/>
          <w:b/>
          <w:sz w:val="28"/>
        </w:rPr>
        <w:t>(</w:t>
      </w:r>
      <w:r w:rsidR="00A902C3">
        <w:rPr>
          <w:rFonts w:ascii="Arial" w:hAnsi="Arial" w:cs="Arial"/>
          <w:b/>
          <w:sz w:val="28"/>
        </w:rPr>
        <w:t>June 5, 2012</w:t>
      </w:r>
      <w:r>
        <w:rPr>
          <w:rFonts w:ascii="Arial" w:hAnsi="Arial" w:cs="Arial"/>
          <w:b/>
          <w:sz w:val="28"/>
        </w:rPr>
        <w:t>)</w:t>
      </w:r>
    </w:p>
    <w:p w:rsidR="00B724DA" w:rsidRDefault="00B724DA">
      <w:pPr>
        <w:jc w:val="center"/>
        <w:rPr>
          <w:rFonts w:ascii="Arial" w:hAnsi="Arial" w:cs="Arial"/>
          <w:b/>
          <w:sz w:val="28"/>
        </w:rPr>
      </w:pPr>
    </w:p>
    <w:p w:rsidR="00B724DA" w:rsidRDefault="00B724DA">
      <w:pPr>
        <w:jc w:val="center"/>
        <w:rPr>
          <w:rFonts w:ascii="Arial" w:hAnsi="Arial" w:cs="Arial"/>
          <w:b/>
          <w:color w:val="000000"/>
          <w:sz w:val="28"/>
        </w:rPr>
      </w:pPr>
    </w:p>
    <w:p w:rsidR="00B724DA" w:rsidRDefault="00B724DA">
      <w:pPr>
        <w:jc w:val="center"/>
        <w:rPr>
          <w:rFonts w:ascii="Arial" w:hAnsi="Arial" w:cs="Arial"/>
          <w:b/>
          <w:color w:val="000000"/>
          <w:sz w:val="28"/>
        </w:rPr>
      </w:pPr>
    </w:p>
    <w:p w:rsidR="00B724DA" w:rsidRDefault="00B724DA">
      <w:pPr>
        <w:jc w:val="center"/>
        <w:rPr>
          <w:rFonts w:ascii="Arial" w:hAnsi="Arial" w:cs="Arial"/>
          <w:b/>
          <w:color w:val="000000"/>
          <w:sz w:val="28"/>
        </w:rPr>
      </w:pPr>
    </w:p>
    <w:p w:rsidR="00B724DA" w:rsidRDefault="00B724DA">
      <w:pPr>
        <w:jc w:val="center"/>
        <w:rPr>
          <w:rFonts w:ascii="Arial" w:hAnsi="Arial" w:cs="Arial"/>
          <w:b/>
          <w:color w:val="000000"/>
          <w:sz w:val="28"/>
        </w:rPr>
      </w:pPr>
    </w:p>
    <w:p w:rsidR="00B724DA" w:rsidRDefault="00B724DA">
      <w:pPr>
        <w:jc w:val="center"/>
        <w:rPr>
          <w:rFonts w:ascii="Arial" w:hAnsi="Arial" w:cs="Arial"/>
          <w:b/>
          <w:color w:val="000000"/>
          <w:sz w:val="28"/>
        </w:rPr>
      </w:pPr>
    </w:p>
    <w:p w:rsidR="00B724DA" w:rsidRDefault="00B724DA">
      <w:pPr>
        <w:jc w:val="center"/>
        <w:rPr>
          <w:rFonts w:ascii="Arial" w:hAnsi="Arial" w:cs="Arial"/>
          <w:b/>
          <w:color w:val="000000"/>
          <w:sz w:val="28"/>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sz w:val="28"/>
        </w:rPr>
      </w:pPr>
    </w:p>
    <w:p w:rsidR="00B724DA" w:rsidRDefault="00B724DA">
      <w:pPr>
        <w:jc w:val="center"/>
        <w:rPr>
          <w:rFonts w:ascii="Arial" w:hAnsi="Arial" w:cs="Arial"/>
          <w:b/>
          <w:sz w:val="28"/>
        </w:rPr>
      </w:pPr>
    </w:p>
    <w:p w:rsidR="00B724DA" w:rsidRDefault="00B724DA">
      <w:pPr>
        <w:jc w:val="center"/>
        <w:rPr>
          <w:rFonts w:ascii="Arial" w:hAnsi="Arial" w:cs="Arial"/>
          <w:b/>
          <w:sz w:val="28"/>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jc w:val="center"/>
        <w:rPr>
          <w:rFonts w:ascii="Arial" w:hAnsi="Arial" w:cs="Arial"/>
          <w:b/>
        </w:rPr>
      </w:pPr>
    </w:p>
    <w:p w:rsidR="00B724DA" w:rsidRDefault="00B724DA">
      <w:pPr>
        <w:pStyle w:val="TOC1"/>
        <w:rPr>
          <w:rFonts w:ascii="Arial" w:hAnsi="Arial" w:cs="Arial"/>
        </w:rPr>
      </w:pPr>
      <w:r>
        <w:rPr>
          <w:rFonts w:ascii="Arial" w:hAnsi="Arial" w:cs="Arial"/>
          <w:sz w:val="32"/>
        </w:rPr>
        <w:br w:type="page"/>
      </w:r>
    </w:p>
    <w:p w:rsidR="00B724DA" w:rsidRDefault="00B724DA">
      <w:pPr>
        <w:rPr>
          <w:rFonts w:ascii="Arial" w:hAnsi="Arial" w:cs="Arial"/>
        </w:rPr>
      </w:pPr>
    </w:p>
    <w:p w:rsidR="00B724DA" w:rsidRDefault="00B724DA">
      <w:pPr>
        <w:rPr>
          <w:rFonts w:ascii="Arial" w:hAnsi="Arial" w:cs="Arial"/>
        </w:rPr>
      </w:pPr>
    </w:p>
    <w:p w:rsidR="00B724DA" w:rsidRDefault="00B724DA">
      <w:pPr>
        <w:rPr>
          <w:rFonts w:ascii="Arial" w:hAnsi="Arial" w:cs="Arial"/>
          <w:b/>
        </w:rPr>
      </w:pPr>
      <w:r>
        <w:rPr>
          <w:rFonts w:ascii="Arial" w:hAnsi="Arial" w:cs="Arial"/>
          <w:b/>
        </w:rPr>
        <w:t>TABLE OF CONTENTS</w:t>
      </w:r>
    </w:p>
    <w:p w:rsidR="00B724DA" w:rsidRDefault="00B724DA">
      <w:pPr>
        <w:rPr>
          <w:rFonts w:ascii="Arial" w:hAnsi="Arial" w:cs="Arial"/>
        </w:rPr>
      </w:pPr>
    </w:p>
    <w:p w:rsidR="00B724DA" w:rsidRDefault="00B724DA">
      <w:pPr>
        <w:rPr>
          <w:rFonts w:ascii="Arial" w:hAnsi="Arial" w:cs="Arial"/>
          <w:b/>
          <w:u w:val="single"/>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u w:val="single"/>
        </w:rPr>
        <w:t>Page</w:t>
      </w:r>
    </w:p>
    <w:p w:rsidR="00B724DA" w:rsidRDefault="00B724DA">
      <w:pPr>
        <w:rPr>
          <w:rFonts w:ascii="Arial" w:hAnsi="Arial" w:cs="Arial"/>
        </w:rPr>
      </w:pPr>
      <w:r>
        <w:rPr>
          <w:rFonts w:ascii="Arial" w:hAnsi="Arial" w:cs="Arial"/>
        </w:rPr>
        <w:t>THE ORGANIZATION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rsidR="00B724DA" w:rsidRDefault="00B724DA">
      <w:pPr>
        <w:rPr>
          <w:rFonts w:ascii="Arial" w:hAnsi="Arial" w:cs="Arial"/>
        </w:rPr>
      </w:pPr>
      <w:r>
        <w:rPr>
          <w:rFonts w:ascii="Arial" w:hAnsi="Arial" w:cs="Arial"/>
        </w:rPr>
        <w:t>SCOPE OF INVESTMENT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rsidR="00B724DA" w:rsidRDefault="00B724DA">
      <w:pPr>
        <w:rPr>
          <w:rFonts w:ascii="Arial" w:hAnsi="Arial" w:cs="Arial"/>
        </w:rPr>
      </w:pPr>
      <w:r>
        <w:rPr>
          <w:rFonts w:ascii="Arial" w:hAnsi="Arial" w:cs="Arial"/>
        </w:rPr>
        <w:t>PURPOSE OF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rsidR="00B724DA" w:rsidRDefault="00B724DA">
      <w:pPr>
        <w:rPr>
          <w:rFonts w:ascii="Arial" w:hAnsi="Arial" w:cs="Arial"/>
        </w:rPr>
      </w:pPr>
      <w:r>
        <w:rPr>
          <w:rFonts w:ascii="Arial" w:hAnsi="Arial" w:cs="Arial"/>
        </w:rPr>
        <w:t>UNIFORM PRUDENT MANAGEMENT OF INSTITUTIONAL FUNDS ACT</w:t>
      </w:r>
      <w:r>
        <w:rPr>
          <w:rFonts w:ascii="Arial" w:hAnsi="Arial" w:cs="Arial"/>
        </w:rPr>
        <w:tab/>
      </w:r>
      <w:r>
        <w:rPr>
          <w:rFonts w:ascii="Arial" w:hAnsi="Arial" w:cs="Arial"/>
        </w:rPr>
        <w:tab/>
        <w:t>4</w:t>
      </w:r>
    </w:p>
    <w:p w:rsidR="00B724DA" w:rsidRDefault="00B724DA">
      <w:pPr>
        <w:ind w:left="540"/>
        <w:rPr>
          <w:rFonts w:ascii="Arial" w:hAnsi="Arial" w:cs="Arial"/>
        </w:rPr>
      </w:pPr>
      <w:r>
        <w:rPr>
          <w:rFonts w:ascii="Arial" w:hAnsi="Arial" w:cs="Arial"/>
        </w:rPr>
        <w:t>Unrestricted Institutional Funds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B724DA" w:rsidRDefault="00B724DA">
      <w:pPr>
        <w:ind w:left="540"/>
        <w:rPr>
          <w:rFonts w:ascii="Arial" w:hAnsi="Arial" w:cs="Arial"/>
        </w:rPr>
      </w:pPr>
      <w:r>
        <w:rPr>
          <w:rFonts w:ascii="Arial" w:hAnsi="Arial" w:cs="Arial"/>
        </w:rPr>
        <w:t xml:space="preserve">Donor Restricted Funds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B724DA" w:rsidRDefault="00B724DA">
      <w:pPr>
        <w:rPr>
          <w:rFonts w:ascii="Arial" w:hAnsi="Arial" w:cs="Arial"/>
        </w:rPr>
      </w:pPr>
      <w:r>
        <w:rPr>
          <w:rFonts w:ascii="Arial" w:hAnsi="Arial" w:cs="Arial"/>
        </w:rPr>
        <w:t>DELEGATION OF AUTHORITY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B724DA" w:rsidRDefault="00B724DA">
      <w:pPr>
        <w:ind w:left="540"/>
        <w:rPr>
          <w:rFonts w:ascii="Arial" w:hAnsi="Arial" w:cs="Arial"/>
        </w:rPr>
      </w:pPr>
      <w:r>
        <w:rPr>
          <w:rFonts w:ascii="Arial" w:hAnsi="Arial" w:cs="Arial"/>
        </w:rPr>
        <w:t>Responsibility of the Board of Directors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rsidR="00B724DA" w:rsidRDefault="00B724DA">
      <w:pPr>
        <w:ind w:left="540"/>
        <w:rPr>
          <w:rFonts w:ascii="Arial" w:hAnsi="Arial" w:cs="Arial"/>
        </w:rPr>
      </w:pPr>
      <w:r>
        <w:rPr>
          <w:rFonts w:ascii="Arial" w:hAnsi="Arial" w:cs="Arial"/>
        </w:rPr>
        <w:t>Responsibility of the Board of Investment Advisory Committee</w:t>
      </w:r>
      <w:r>
        <w:rPr>
          <w:rFonts w:ascii="Arial" w:hAnsi="Arial" w:cs="Arial"/>
        </w:rPr>
        <w:tab/>
      </w:r>
      <w:r>
        <w:rPr>
          <w:rFonts w:ascii="Arial" w:hAnsi="Arial" w:cs="Arial"/>
        </w:rPr>
        <w:tab/>
      </w:r>
      <w:r>
        <w:rPr>
          <w:rFonts w:ascii="Arial" w:hAnsi="Arial" w:cs="Arial"/>
        </w:rPr>
        <w:tab/>
        <w:t>6</w:t>
      </w:r>
    </w:p>
    <w:p w:rsidR="00B724DA" w:rsidRDefault="00B724DA">
      <w:pPr>
        <w:ind w:left="540"/>
        <w:rPr>
          <w:rFonts w:ascii="Arial" w:hAnsi="Arial" w:cs="Arial"/>
        </w:rPr>
      </w:pPr>
      <w:r>
        <w:rPr>
          <w:rFonts w:ascii="Arial" w:hAnsi="Arial" w:cs="Arial"/>
        </w:rPr>
        <w:t>Responsibility of Investment Management Consultant</w:t>
      </w:r>
      <w:r>
        <w:rPr>
          <w:rFonts w:ascii="Arial" w:hAnsi="Arial" w:cs="Arial"/>
        </w:rPr>
        <w:tab/>
      </w:r>
      <w:r>
        <w:rPr>
          <w:rFonts w:ascii="Arial" w:hAnsi="Arial" w:cs="Arial"/>
        </w:rPr>
        <w:tab/>
      </w:r>
      <w:r>
        <w:rPr>
          <w:rFonts w:ascii="Arial" w:hAnsi="Arial" w:cs="Arial"/>
        </w:rPr>
        <w:tab/>
      </w:r>
      <w:r>
        <w:rPr>
          <w:rFonts w:ascii="Arial" w:hAnsi="Arial" w:cs="Arial"/>
        </w:rPr>
        <w:tab/>
        <w:t>6</w:t>
      </w:r>
    </w:p>
    <w:p w:rsidR="00B724DA" w:rsidRDefault="00B724DA">
      <w:pPr>
        <w:rPr>
          <w:rFonts w:ascii="Arial" w:hAnsi="Arial" w:cs="Arial"/>
        </w:rPr>
      </w:pPr>
      <w:r>
        <w:rPr>
          <w:rFonts w:ascii="Arial" w:hAnsi="Arial" w:cs="Arial"/>
        </w:rPr>
        <w:t>RISK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B724DA" w:rsidRDefault="00B724DA">
      <w:pPr>
        <w:rPr>
          <w:rFonts w:ascii="Arial" w:hAnsi="Arial" w:cs="Arial"/>
        </w:rPr>
      </w:pPr>
      <w:r>
        <w:rPr>
          <w:rFonts w:ascii="Arial" w:hAnsi="Arial" w:cs="Arial"/>
        </w:rPr>
        <w:t>MARKETABILITY / LIQUIDITY OF ASSETS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B724DA" w:rsidRDefault="00B724DA">
      <w:pPr>
        <w:rPr>
          <w:rFonts w:ascii="Arial" w:hAnsi="Arial" w:cs="Arial"/>
        </w:rPr>
      </w:pPr>
      <w:r>
        <w:rPr>
          <w:rFonts w:ascii="Arial" w:hAnsi="Arial" w:cs="Arial"/>
        </w:rPr>
        <w:t>SELECTION OF MANAGERS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B724DA" w:rsidRDefault="00B724DA">
      <w:pPr>
        <w:rPr>
          <w:rFonts w:ascii="Arial" w:hAnsi="Arial" w:cs="Arial"/>
        </w:rPr>
      </w:pPr>
      <w:r>
        <w:rPr>
          <w:rFonts w:ascii="Arial" w:hAnsi="Arial" w:cs="Arial"/>
        </w:rPr>
        <w:t>INVESTMENT PERFORMANCE REVIEW AND EVALUATION</w:t>
      </w:r>
      <w:r>
        <w:rPr>
          <w:rFonts w:ascii="Arial" w:hAnsi="Arial" w:cs="Arial"/>
        </w:rPr>
        <w:tab/>
      </w:r>
      <w:r>
        <w:rPr>
          <w:rFonts w:ascii="Arial" w:hAnsi="Arial" w:cs="Arial"/>
        </w:rPr>
        <w:tab/>
      </w:r>
      <w:r>
        <w:rPr>
          <w:rFonts w:ascii="Arial" w:hAnsi="Arial" w:cs="Arial"/>
        </w:rPr>
        <w:tab/>
      </w:r>
      <w:r w:rsidR="00C4578A">
        <w:rPr>
          <w:rFonts w:ascii="Arial" w:hAnsi="Arial" w:cs="Arial"/>
        </w:rPr>
        <w:t>8</w:t>
      </w:r>
    </w:p>
    <w:p w:rsidR="00B724DA" w:rsidRDefault="00B724DA">
      <w:pPr>
        <w:ind w:left="540"/>
        <w:rPr>
          <w:rFonts w:ascii="Arial" w:hAnsi="Arial" w:cs="Arial"/>
        </w:rPr>
      </w:pPr>
      <w:r>
        <w:rPr>
          <w:rFonts w:ascii="Arial" w:hAnsi="Arial" w:cs="Arial"/>
        </w:rPr>
        <w:t>Performance Guidelines for Investment Pools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4578A">
        <w:rPr>
          <w:rFonts w:ascii="Arial" w:hAnsi="Arial" w:cs="Arial"/>
        </w:rPr>
        <w:t>8</w:t>
      </w:r>
    </w:p>
    <w:p w:rsidR="00B724DA" w:rsidRDefault="00B724DA">
      <w:pPr>
        <w:ind w:left="540"/>
        <w:rPr>
          <w:rFonts w:ascii="Arial" w:hAnsi="Arial" w:cs="Arial"/>
        </w:rPr>
      </w:pPr>
      <w:r>
        <w:rPr>
          <w:rFonts w:ascii="Arial" w:hAnsi="Arial" w:cs="Arial"/>
        </w:rPr>
        <w:t>Performance Guidelines for Investment Managers</w:t>
      </w:r>
      <w:r>
        <w:rPr>
          <w:rFonts w:ascii="Arial" w:hAnsi="Arial" w:cs="Arial"/>
        </w:rPr>
        <w:tab/>
      </w:r>
      <w:r>
        <w:rPr>
          <w:rFonts w:ascii="Arial" w:hAnsi="Arial" w:cs="Arial"/>
        </w:rPr>
        <w:tab/>
      </w:r>
      <w:r>
        <w:rPr>
          <w:rFonts w:ascii="Arial" w:hAnsi="Arial" w:cs="Arial"/>
        </w:rPr>
        <w:tab/>
      </w:r>
      <w:r>
        <w:rPr>
          <w:rFonts w:ascii="Arial" w:hAnsi="Arial" w:cs="Arial"/>
        </w:rPr>
        <w:tab/>
      </w:r>
      <w:r w:rsidR="00C4578A">
        <w:rPr>
          <w:rFonts w:ascii="Arial" w:hAnsi="Arial" w:cs="Arial"/>
        </w:rPr>
        <w:t>8</w:t>
      </w:r>
    </w:p>
    <w:p w:rsidR="00B724DA" w:rsidRDefault="00B724DA">
      <w:pPr>
        <w:rPr>
          <w:rFonts w:ascii="Arial" w:hAnsi="Arial" w:cs="Arial"/>
        </w:rPr>
      </w:pPr>
      <w:r>
        <w:rPr>
          <w:rFonts w:ascii="Arial" w:hAnsi="Arial" w:cs="Arial"/>
        </w:rPr>
        <w:t>INVESTMENT STRUCTURE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rsidR="00B724DA" w:rsidRDefault="00B724DA">
      <w:pPr>
        <w:rPr>
          <w:rFonts w:ascii="Arial" w:hAnsi="Arial" w:cs="Arial"/>
        </w:rPr>
      </w:pPr>
      <w:r>
        <w:rPr>
          <w:rFonts w:ascii="Arial" w:hAnsi="Arial" w:cs="Arial"/>
        </w:rPr>
        <w:t>REBALANCE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rsidR="00B724DA" w:rsidRDefault="00C4578A">
      <w:pPr>
        <w:rPr>
          <w:rFonts w:ascii="Arial" w:hAnsi="Arial" w:cs="Arial"/>
        </w:rPr>
      </w:pPr>
      <w:r>
        <w:rPr>
          <w:rFonts w:ascii="Arial" w:hAnsi="Arial" w:cs="Arial"/>
        </w:rPr>
        <w:t>INVESTMENT POOLS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rsidR="00B724DA" w:rsidRDefault="00C4578A">
      <w:pPr>
        <w:ind w:left="540"/>
        <w:rPr>
          <w:rFonts w:ascii="Arial" w:hAnsi="Arial" w:cs="Arial"/>
        </w:rPr>
      </w:pPr>
      <w:r>
        <w:rPr>
          <w:rFonts w:ascii="Arial" w:hAnsi="Arial" w:cs="Arial"/>
        </w:rPr>
        <w:t>Long-Term Pool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8F3F9F" w:rsidRDefault="008F3F9F">
      <w:pPr>
        <w:ind w:left="540"/>
        <w:rPr>
          <w:rFonts w:ascii="Arial" w:hAnsi="Arial" w:cs="Arial"/>
        </w:rPr>
      </w:pPr>
      <w:r>
        <w:rPr>
          <w:rFonts w:ascii="Arial" w:hAnsi="Arial" w:cs="Arial"/>
        </w:rPr>
        <w:t>Socially Responsible Investment Pool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237B30" w:rsidRDefault="000105CD">
      <w:pPr>
        <w:ind w:left="540"/>
        <w:rPr>
          <w:rFonts w:ascii="Arial" w:hAnsi="Arial" w:cs="Arial"/>
        </w:rPr>
      </w:pPr>
      <w:r>
        <w:rPr>
          <w:rFonts w:ascii="Arial" w:hAnsi="Arial" w:cs="Arial"/>
        </w:rPr>
        <w:t>Intermediate</w:t>
      </w:r>
      <w:r w:rsidR="004B33C8">
        <w:rPr>
          <w:rFonts w:ascii="Arial" w:hAnsi="Arial" w:cs="Arial"/>
        </w:rPr>
        <w:t>-T</w:t>
      </w:r>
      <w:r w:rsidR="00237B30">
        <w:rPr>
          <w:rFonts w:ascii="Arial" w:hAnsi="Arial" w:cs="Arial"/>
        </w:rPr>
        <w:t>erm Pool</w:t>
      </w:r>
      <w:r w:rsidR="00237B30">
        <w:rPr>
          <w:rFonts w:ascii="Arial" w:hAnsi="Arial" w:cs="Arial"/>
        </w:rPr>
        <w:tab/>
      </w:r>
      <w:r w:rsidR="00237B30">
        <w:rPr>
          <w:rFonts w:ascii="Arial" w:hAnsi="Arial" w:cs="Arial"/>
        </w:rPr>
        <w:tab/>
      </w:r>
      <w:r w:rsidR="00237B30">
        <w:rPr>
          <w:rFonts w:ascii="Arial" w:hAnsi="Arial" w:cs="Arial"/>
        </w:rPr>
        <w:tab/>
      </w:r>
      <w:r w:rsidR="00237B3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902C3">
        <w:rPr>
          <w:rFonts w:ascii="Arial" w:hAnsi="Arial" w:cs="Arial"/>
        </w:rPr>
        <w:t>12</w:t>
      </w:r>
    </w:p>
    <w:p w:rsidR="00A902C3" w:rsidRDefault="00A902C3">
      <w:pPr>
        <w:ind w:left="540"/>
        <w:rPr>
          <w:rFonts w:ascii="Arial" w:hAnsi="Arial" w:cs="Arial"/>
        </w:rPr>
      </w:pPr>
      <w:r>
        <w:rPr>
          <w:rFonts w:ascii="Arial" w:hAnsi="Arial" w:cs="Arial"/>
        </w:rPr>
        <w:t>Short-Term Pool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p>
    <w:p w:rsidR="00B724DA" w:rsidRDefault="00B724DA">
      <w:pPr>
        <w:rPr>
          <w:rFonts w:ascii="Arial" w:hAnsi="Arial" w:cs="Arial"/>
        </w:rPr>
      </w:pPr>
      <w:r>
        <w:rPr>
          <w:rFonts w:ascii="Arial" w:hAnsi="Arial" w:cs="Arial"/>
        </w:rPr>
        <w:t>IN</w:t>
      </w:r>
      <w:r w:rsidR="00C4578A">
        <w:rPr>
          <w:rFonts w:ascii="Arial" w:hAnsi="Arial" w:cs="Arial"/>
        </w:rPr>
        <w:t>VESTMENT POLICY REVIEW</w:t>
      </w:r>
      <w:r w:rsidR="00C4578A">
        <w:rPr>
          <w:rFonts w:ascii="Arial" w:hAnsi="Arial" w:cs="Arial"/>
        </w:rPr>
        <w:tab/>
      </w:r>
      <w:r w:rsidR="00C4578A">
        <w:rPr>
          <w:rFonts w:ascii="Arial" w:hAnsi="Arial" w:cs="Arial"/>
        </w:rPr>
        <w:tab/>
      </w:r>
      <w:r w:rsidR="00C4578A">
        <w:rPr>
          <w:rFonts w:ascii="Arial" w:hAnsi="Arial" w:cs="Arial"/>
        </w:rPr>
        <w:tab/>
      </w:r>
      <w:r w:rsidR="00C4578A">
        <w:rPr>
          <w:rFonts w:ascii="Arial" w:hAnsi="Arial" w:cs="Arial"/>
        </w:rPr>
        <w:tab/>
      </w:r>
      <w:r w:rsidR="00C4578A">
        <w:rPr>
          <w:rFonts w:ascii="Arial" w:hAnsi="Arial" w:cs="Arial"/>
        </w:rPr>
        <w:tab/>
      </w:r>
      <w:r w:rsidR="00C4578A">
        <w:rPr>
          <w:rFonts w:ascii="Arial" w:hAnsi="Arial" w:cs="Arial"/>
        </w:rPr>
        <w:tab/>
      </w:r>
      <w:r w:rsidR="00C4578A">
        <w:rPr>
          <w:rFonts w:ascii="Arial" w:hAnsi="Arial" w:cs="Arial"/>
        </w:rPr>
        <w:tab/>
      </w:r>
      <w:r w:rsidR="00C4578A">
        <w:rPr>
          <w:rFonts w:ascii="Arial" w:hAnsi="Arial" w:cs="Arial"/>
        </w:rPr>
        <w:tab/>
        <w:t>1</w:t>
      </w:r>
      <w:r w:rsidR="00A902C3">
        <w:rPr>
          <w:rFonts w:ascii="Arial" w:hAnsi="Arial" w:cs="Arial"/>
        </w:rPr>
        <w:t>4</w:t>
      </w:r>
    </w:p>
    <w:p w:rsidR="00B724DA" w:rsidRDefault="00B724DA">
      <w:pPr>
        <w:rPr>
          <w:rFonts w:ascii="Arial" w:hAnsi="Arial" w:cs="Arial"/>
        </w:rPr>
      </w:pPr>
    </w:p>
    <w:p w:rsidR="00B724DA" w:rsidRDefault="00B724DA">
      <w:pPr>
        <w:rPr>
          <w:rFonts w:ascii="Arial" w:hAnsi="Arial" w:cs="Arial"/>
        </w:rPr>
      </w:pPr>
    </w:p>
    <w:p w:rsidR="00B724DA" w:rsidRDefault="00B724DA">
      <w:pPr>
        <w:rPr>
          <w:rFonts w:ascii="Arial" w:hAnsi="Arial" w:cs="Arial"/>
        </w:rPr>
      </w:pPr>
    </w:p>
    <w:p w:rsidR="00B724DA" w:rsidRDefault="00B724DA">
      <w:pPr>
        <w:widowControl w:val="0"/>
        <w:jc w:val="center"/>
        <w:rPr>
          <w:rFonts w:ascii="Arial" w:hAnsi="Arial" w:cs="Arial"/>
          <w:b/>
          <w:sz w:val="32"/>
        </w:rPr>
      </w:pPr>
      <w:r>
        <w:rPr>
          <w:rFonts w:ascii="Arial" w:hAnsi="Arial" w:cs="Arial"/>
          <w:b/>
          <w:bCs/>
        </w:rPr>
        <w:br w:type="page"/>
      </w:r>
      <w:r>
        <w:rPr>
          <w:rFonts w:ascii="Arial" w:hAnsi="Arial" w:cs="Arial"/>
          <w:b/>
          <w:sz w:val="32"/>
        </w:rPr>
        <w:lastRenderedPageBreak/>
        <w:t>Statement of Investment Policy, Objectives, and Guidelines</w:t>
      </w:r>
    </w:p>
    <w:p w:rsidR="00B724DA" w:rsidRDefault="00B724DA">
      <w:pPr>
        <w:widowControl w:val="0"/>
        <w:jc w:val="center"/>
        <w:rPr>
          <w:rFonts w:ascii="Arial" w:hAnsi="Arial" w:cs="Arial"/>
          <w:b/>
          <w:sz w:val="32"/>
        </w:rPr>
      </w:pPr>
    </w:p>
    <w:p w:rsidR="00B724DA" w:rsidRDefault="00B724DA">
      <w:pPr>
        <w:widowControl w:val="0"/>
        <w:jc w:val="center"/>
        <w:rPr>
          <w:rFonts w:ascii="Arial" w:hAnsi="Arial" w:cs="Arial"/>
          <w:b/>
          <w:sz w:val="32"/>
        </w:rPr>
      </w:pPr>
    </w:p>
    <w:p w:rsidR="00B724DA" w:rsidRDefault="00B724DA">
      <w:pPr>
        <w:pStyle w:val="StyleHeading1Black"/>
        <w:spacing w:before="120" w:after="120"/>
        <w:rPr>
          <w:rFonts w:ascii="Arial" w:hAnsi="Arial" w:cs="Arial"/>
        </w:rPr>
      </w:pPr>
      <w:bookmarkStart w:id="0" w:name="_Toc285123349"/>
      <w:r>
        <w:rPr>
          <w:rFonts w:ascii="Arial" w:hAnsi="Arial" w:cs="Arial"/>
        </w:rPr>
        <w:t>THE ORGANIZATION</w:t>
      </w:r>
      <w:bookmarkEnd w:id="0"/>
    </w:p>
    <w:p w:rsidR="00B724DA" w:rsidRDefault="00B724DA">
      <w:pPr>
        <w:rPr>
          <w:rFonts w:ascii="Arial" w:hAnsi="Arial" w:cs="Arial"/>
        </w:rPr>
      </w:pPr>
      <w:r>
        <w:rPr>
          <w:rFonts w:ascii="Arial" w:hAnsi="Arial" w:cs="Arial"/>
        </w:rPr>
        <w:t xml:space="preserve">The Community Foundation of Sonoma County (“the Foundation”) exists to improve the quality of life in </w:t>
      </w:r>
      <w:smartTag w:uri="urn:schemas-microsoft-com:office:smarttags" w:element="place">
        <w:smartTag w:uri="urn:schemas-microsoft-com:office:smarttags" w:element="PlaceName">
          <w:r>
            <w:rPr>
              <w:rFonts w:ascii="Arial" w:hAnsi="Arial" w:cs="Arial"/>
            </w:rPr>
            <w:t>Sonoma</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 through grants to nonprofit organizations.</w:t>
      </w:r>
    </w:p>
    <w:p w:rsidR="00B724DA" w:rsidRDefault="00B724DA">
      <w:pPr>
        <w:rPr>
          <w:rFonts w:ascii="Arial" w:hAnsi="Arial" w:cs="Arial"/>
        </w:rPr>
      </w:pPr>
    </w:p>
    <w:p w:rsidR="00C4578A" w:rsidRDefault="00C4578A">
      <w:pPr>
        <w:rPr>
          <w:rFonts w:ascii="Arial" w:hAnsi="Arial" w:cs="Arial"/>
        </w:rPr>
      </w:pPr>
    </w:p>
    <w:p w:rsidR="00B724DA" w:rsidRDefault="00B724DA">
      <w:pPr>
        <w:pStyle w:val="StyleHeading1Black"/>
        <w:spacing w:before="120" w:after="120"/>
        <w:rPr>
          <w:rFonts w:ascii="Arial" w:hAnsi="Arial" w:cs="Arial"/>
        </w:rPr>
      </w:pPr>
      <w:bookmarkStart w:id="1" w:name="_Toc285123350"/>
      <w:r>
        <w:rPr>
          <w:rFonts w:ascii="Arial" w:hAnsi="Arial" w:cs="Arial"/>
        </w:rPr>
        <w:t>SCOPE OF THIS INVESTMENT POLICY</w:t>
      </w:r>
      <w:bookmarkEnd w:id="1"/>
    </w:p>
    <w:p w:rsidR="00B724DA" w:rsidRDefault="00B724DA">
      <w:pPr>
        <w:rPr>
          <w:rFonts w:ascii="Arial" w:hAnsi="Arial" w:cs="Arial"/>
        </w:rPr>
      </w:pPr>
      <w:r>
        <w:rPr>
          <w:rFonts w:ascii="Arial" w:hAnsi="Arial" w:cs="Arial"/>
        </w:rPr>
        <w:t xml:space="preserve">This Investment Policy (“the Policy”) applies to the investment management and spending for the Foundation’s Investment Pools (“Pools” or “Funds”).  The policy was adopted by the Board of Directors upon the recommendation of its Investment Advisory Committee. </w:t>
      </w:r>
    </w:p>
    <w:p w:rsidR="00B724DA" w:rsidRDefault="00B724DA">
      <w:pPr>
        <w:rPr>
          <w:rFonts w:ascii="Arial" w:hAnsi="Arial" w:cs="Arial"/>
        </w:rPr>
      </w:pPr>
    </w:p>
    <w:p w:rsidR="00B724DA" w:rsidRDefault="00B724DA">
      <w:pPr>
        <w:rPr>
          <w:rFonts w:ascii="Arial" w:hAnsi="Arial" w:cs="Arial"/>
        </w:rPr>
      </w:pPr>
      <w:r>
        <w:rPr>
          <w:rFonts w:ascii="Arial" w:hAnsi="Arial" w:cs="Arial"/>
        </w:rPr>
        <w:t>The Investment Funds covered in this statement include:</w:t>
      </w:r>
    </w:p>
    <w:p w:rsidR="00B724DA" w:rsidRPr="00C4578A" w:rsidRDefault="00B724DA" w:rsidP="00AC2149">
      <w:pPr>
        <w:keepNext/>
        <w:keepLines/>
        <w:numPr>
          <w:ilvl w:val="0"/>
          <w:numId w:val="36"/>
        </w:numPr>
        <w:jc w:val="both"/>
      </w:pPr>
      <w:r w:rsidRPr="00C4578A">
        <w:rPr>
          <w:rFonts w:ascii="Arial" w:hAnsi="Arial" w:cs="Arial"/>
        </w:rPr>
        <w:t xml:space="preserve">The Long Term </w:t>
      </w:r>
      <w:r w:rsidR="00153F92" w:rsidRPr="00C4578A">
        <w:rPr>
          <w:rFonts w:ascii="Arial" w:hAnsi="Arial" w:cs="Arial"/>
        </w:rPr>
        <w:t>Pool</w:t>
      </w:r>
    </w:p>
    <w:p w:rsidR="00B724DA" w:rsidRDefault="00B724DA" w:rsidP="00AC2149">
      <w:pPr>
        <w:keepNext/>
        <w:keepLines/>
        <w:numPr>
          <w:ilvl w:val="0"/>
          <w:numId w:val="36"/>
        </w:numPr>
        <w:spacing w:before="120" w:after="120"/>
        <w:jc w:val="both"/>
        <w:rPr>
          <w:rFonts w:ascii="Arial" w:hAnsi="Arial" w:cs="Arial"/>
        </w:rPr>
      </w:pPr>
      <w:r w:rsidRPr="00C4578A">
        <w:rPr>
          <w:rFonts w:ascii="Arial" w:hAnsi="Arial" w:cs="Arial"/>
        </w:rPr>
        <w:t xml:space="preserve">The Socially Responsible Investment </w:t>
      </w:r>
      <w:r w:rsidR="00153F92" w:rsidRPr="00C4578A">
        <w:rPr>
          <w:rFonts w:ascii="Arial" w:hAnsi="Arial" w:cs="Arial"/>
        </w:rPr>
        <w:t>Pool</w:t>
      </w:r>
    </w:p>
    <w:p w:rsidR="008F3F9F" w:rsidRPr="00C4578A" w:rsidRDefault="008F3F9F" w:rsidP="008F3F9F">
      <w:pPr>
        <w:keepNext/>
        <w:keepLines/>
        <w:numPr>
          <w:ilvl w:val="0"/>
          <w:numId w:val="36"/>
        </w:numPr>
        <w:spacing w:before="120" w:after="120"/>
        <w:jc w:val="both"/>
        <w:rPr>
          <w:rFonts w:ascii="Arial" w:hAnsi="Arial" w:cs="Arial"/>
        </w:rPr>
      </w:pPr>
      <w:r w:rsidRPr="00C4578A">
        <w:rPr>
          <w:rFonts w:ascii="Arial" w:hAnsi="Arial" w:cs="Arial"/>
        </w:rPr>
        <w:t>The Intermediate-Term Pool</w:t>
      </w:r>
    </w:p>
    <w:p w:rsidR="00B724DA" w:rsidRPr="00C4578A" w:rsidRDefault="00B724DA" w:rsidP="00AC2149">
      <w:pPr>
        <w:keepNext/>
        <w:keepLines/>
        <w:numPr>
          <w:ilvl w:val="0"/>
          <w:numId w:val="36"/>
        </w:numPr>
        <w:spacing w:before="120" w:after="120"/>
        <w:jc w:val="both"/>
        <w:rPr>
          <w:rFonts w:ascii="Arial" w:hAnsi="Arial" w:cs="Arial"/>
        </w:rPr>
      </w:pPr>
      <w:r w:rsidRPr="00C4578A">
        <w:rPr>
          <w:rFonts w:ascii="Arial" w:hAnsi="Arial" w:cs="Arial"/>
        </w:rPr>
        <w:t xml:space="preserve">The Short-Term </w:t>
      </w:r>
      <w:r w:rsidR="00153F92" w:rsidRPr="00C4578A">
        <w:rPr>
          <w:rFonts w:ascii="Arial" w:hAnsi="Arial" w:cs="Arial"/>
        </w:rPr>
        <w:t>Pool</w:t>
      </w:r>
    </w:p>
    <w:p w:rsidR="00B724DA" w:rsidRPr="00C4578A" w:rsidRDefault="00B724DA" w:rsidP="00AC2149">
      <w:pPr>
        <w:keepNext/>
        <w:keepLines/>
        <w:numPr>
          <w:ilvl w:val="0"/>
          <w:numId w:val="36"/>
        </w:numPr>
        <w:spacing w:before="120" w:after="120"/>
        <w:jc w:val="both"/>
        <w:rPr>
          <w:rFonts w:ascii="Arial" w:hAnsi="Arial" w:cs="Arial"/>
        </w:rPr>
      </w:pPr>
      <w:r w:rsidRPr="00C4578A">
        <w:rPr>
          <w:rFonts w:ascii="Arial" w:hAnsi="Arial" w:cs="Arial"/>
        </w:rPr>
        <w:t>The Pooled Income Fund</w:t>
      </w:r>
    </w:p>
    <w:p w:rsidR="00B724DA" w:rsidRPr="00C4578A" w:rsidRDefault="00B724DA" w:rsidP="00AC2149">
      <w:pPr>
        <w:keepNext/>
        <w:keepLines/>
        <w:numPr>
          <w:ilvl w:val="0"/>
          <w:numId w:val="36"/>
        </w:numPr>
        <w:spacing w:before="120" w:after="120"/>
        <w:jc w:val="both"/>
        <w:rPr>
          <w:rFonts w:ascii="Arial" w:hAnsi="Arial" w:cs="Arial"/>
        </w:rPr>
      </w:pPr>
      <w:r w:rsidRPr="00C4578A">
        <w:rPr>
          <w:rFonts w:ascii="Arial" w:hAnsi="Arial" w:cs="Arial"/>
        </w:rPr>
        <w:t>Charitable Remainder Trust Fund(s) – as separately identified by the specific goals and objectives of each trust.</w:t>
      </w:r>
    </w:p>
    <w:p w:rsidR="00B724DA" w:rsidRDefault="00B724DA">
      <w:pPr>
        <w:rPr>
          <w:rFonts w:ascii="Arial" w:hAnsi="Arial" w:cs="Arial"/>
        </w:rPr>
      </w:pPr>
    </w:p>
    <w:p w:rsidR="00B724DA" w:rsidRDefault="00B724DA">
      <w:pPr>
        <w:pStyle w:val="StyleHeading1Black"/>
        <w:spacing w:before="120" w:after="120"/>
        <w:rPr>
          <w:rFonts w:ascii="Arial" w:hAnsi="Arial" w:cs="Arial"/>
        </w:rPr>
      </w:pPr>
      <w:bookmarkStart w:id="2" w:name="_Toc285123351"/>
      <w:r>
        <w:rPr>
          <w:rFonts w:ascii="Arial" w:hAnsi="Arial" w:cs="Arial"/>
        </w:rPr>
        <w:t>PURPOSE OF POLICY</w:t>
      </w:r>
      <w:bookmarkEnd w:id="2"/>
    </w:p>
    <w:p w:rsidR="00B724DA" w:rsidRDefault="00B724DA">
      <w:pPr>
        <w:rPr>
          <w:rFonts w:ascii="Arial" w:hAnsi="Arial" w:cs="Arial"/>
        </w:rPr>
      </w:pPr>
      <w:r>
        <w:rPr>
          <w:rFonts w:ascii="Arial" w:hAnsi="Arial" w:cs="Arial"/>
        </w:rPr>
        <w:t>The Policy is set forth to ensure that:</w:t>
      </w:r>
    </w:p>
    <w:p w:rsidR="00B724DA" w:rsidRDefault="00B724DA">
      <w:pPr>
        <w:numPr>
          <w:ilvl w:val="0"/>
          <w:numId w:val="1"/>
        </w:numPr>
        <w:spacing w:before="100" w:beforeAutospacing="1" w:after="100" w:afterAutospacing="1"/>
        <w:jc w:val="both"/>
        <w:rPr>
          <w:rFonts w:ascii="Arial" w:hAnsi="Arial" w:cs="Arial"/>
          <w:bCs/>
        </w:rPr>
      </w:pPr>
      <w:r>
        <w:rPr>
          <w:rFonts w:ascii="Arial" w:hAnsi="Arial" w:cs="Arial"/>
          <w:bCs/>
        </w:rPr>
        <w:t>There is a clear understanding</w:t>
      </w:r>
      <w:bookmarkStart w:id="3" w:name="_GoBack"/>
      <w:bookmarkEnd w:id="3"/>
      <w:r>
        <w:rPr>
          <w:rFonts w:ascii="Arial" w:hAnsi="Arial" w:cs="Arial"/>
          <w:bCs/>
        </w:rPr>
        <w:t xml:space="preserve"> among the Board of Directors, the Investment Advisory Committee and Investment Management Consultant regarding the nature, purpose, and objectives of the Investment Funds.</w:t>
      </w:r>
    </w:p>
    <w:p w:rsidR="00B724DA" w:rsidRDefault="00B724DA">
      <w:pPr>
        <w:numPr>
          <w:ilvl w:val="0"/>
          <w:numId w:val="1"/>
        </w:numPr>
        <w:spacing w:before="100" w:beforeAutospacing="1" w:after="100" w:afterAutospacing="1"/>
        <w:jc w:val="both"/>
        <w:rPr>
          <w:rFonts w:ascii="Arial" w:hAnsi="Arial" w:cs="Arial"/>
        </w:rPr>
      </w:pPr>
      <w:r>
        <w:rPr>
          <w:rFonts w:ascii="Arial" w:hAnsi="Arial" w:cs="Arial"/>
          <w:bCs/>
        </w:rPr>
        <w:t>The Investment Advisory Committee and the Investment Management Consultant have guidelines for implementing and administering the Policy.</w:t>
      </w:r>
    </w:p>
    <w:p w:rsidR="00B724DA" w:rsidRDefault="00B724DA">
      <w:pPr>
        <w:numPr>
          <w:ilvl w:val="0"/>
          <w:numId w:val="1"/>
        </w:numPr>
        <w:spacing w:before="100" w:beforeAutospacing="1" w:after="100" w:afterAutospacing="1"/>
        <w:jc w:val="both"/>
        <w:rPr>
          <w:rFonts w:ascii="Arial" w:hAnsi="Arial" w:cs="Arial"/>
        </w:rPr>
      </w:pPr>
      <w:r>
        <w:rPr>
          <w:rFonts w:ascii="Arial" w:hAnsi="Arial" w:cs="Arial"/>
          <w:bCs/>
        </w:rPr>
        <w:t>The Investment Advisory Committee has a basis to evaluate the performance of the Investment Funds.</w:t>
      </w:r>
    </w:p>
    <w:p w:rsidR="00B724DA" w:rsidRDefault="00B724DA">
      <w:pPr>
        <w:numPr>
          <w:ilvl w:val="0"/>
          <w:numId w:val="1"/>
        </w:numPr>
        <w:spacing w:before="100" w:beforeAutospacing="1" w:after="100" w:afterAutospacing="1"/>
        <w:jc w:val="both"/>
        <w:rPr>
          <w:rFonts w:ascii="Arial" w:hAnsi="Arial" w:cs="Arial"/>
        </w:rPr>
      </w:pPr>
      <w:r>
        <w:rPr>
          <w:rFonts w:ascii="Arial" w:hAnsi="Arial" w:cs="Arial"/>
        </w:rPr>
        <w:t>The man</w:t>
      </w:r>
      <w:r w:rsidR="002E1A0D">
        <w:rPr>
          <w:rFonts w:ascii="Arial" w:hAnsi="Arial" w:cs="Arial"/>
        </w:rPr>
        <w:t>agement of the Investment Funds</w:t>
      </w:r>
      <w:r>
        <w:rPr>
          <w:rFonts w:ascii="Arial" w:hAnsi="Arial" w:cs="Arial"/>
        </w:rPr>
        <w:t xml:space="preserve"> is according to prudent fiduciary standards.</w:t>
      </w:r>
    </w:p>
    <w:p w:rsidR="00B724DA" w:rsidRDefault="00B724DA">
      <w:pPr>
        <w:numPr>
          <w:ilvl w:val="0"/>
          <w:numId w:val="1"/>
        </w:numPr>
        <w:spacing w:before="100" w:beforeAutospacing="1" w:after="100" w:afterAutospacing="1"/>
        <w:jc w:val="both"/>
        <w:rPr>
          <w:rFonts w:ascii="Arial" w:hAnsi="Arial" w:cs="Arial"/>
        </w:rPr>
      </w:pPr>
      <w:r>
        <w:rPr>
          <w:rFonts w:ascii="Arial" w:hAnsi="Arial" w:cs="Arial"/>
        </w:rPr>
        <w:t xml:space="preserve">A relevant investment horizon is established for each Investment Fund. </w:t>
      </w:r>
    </w:p>
    <w:p w:rsidR="00B724DA" w:rsidRDefault="00B724DA">
      <w:pPr>
        <w:rPr>
          <w:rFonts w:ascii="Arial" w:hAnsi="Arial" w:cs="Arial"/>
        </w:rPr>
      </w:pPr>
      <w:r>
        <w:rPr>
          <w:rFonts w:ascii="Arial" w:hAnsi="Arial" w:cs="Arial"/>
        </w:rPr>
        <w:t>It is intended that the guidelines be sufficiently specific to be meaningful, and flexible enough to be practical in allowing for developments in the securities markets and economy.</w:t>
      </w:r>
    </w:p>
    <w:p w:rsidR="00B724DA" w:rsidRDefault="00B724DA">
      <w:pPr>
        <w:pStyle w:val="StyleHeading1Black"/>
        <w:rPr>
          <w:rFonts w:ascii="Arial" w:hAnsi="Arial" w:cs="Arial"/>
        </w:rPr>
      </w:pPr>
      <w:r>
        <w:rPr>
          <w:rFonts w:ascii="Arial" w:hAnsi="Arial" w:cs="Arial"/>
        </w:rPr>
        <w:br w:type="page"/>
      </w:r>
      <w:bookmarkStart w:id="4" w:name="_Toc285123352"/>
    </w:p>
    <w:p w:rsidR="00B724DA" w:rsidRDefault="00B724DA">
      <w:pPr>
        <w:pStyle w:val="StyleHeading1Black"/>
        <w:rPr>
          <w:rFonts w:ascii="Arial" w:hAnsi="Arial" w:cs="Arial"/>
        </w:rPr>
      </w:pPr>
      <w:r>
        <w:rPr>
          <w:rFonts w:ascii="Arial" w:hAnsi="Arial" w:cs="Arial"/>
        </w:rPr>
        <w:lastRenderedPageBreak/>
        <w:t>UNIFORM PRUDENT MANAGEMENT OF INSTITUTIONAL FUNDS ACT (UPMIFA</w:t>
      </w:r>
      <w:bookmarkEnd w:id="4"/>
      <w:r>
        <w:rPr>
          <w:rFonts w:ascii="Arial" w:hAnsi="Arial" w:cs="Arial"/>
        </w:rPr>
        <w:t>)</w:t>
      </w:r>
    </w:p>
    <w:p w:rsidR="00B724DA" w:rsidRDefault="00B724DA">
      <w:pPr>
        <w:rPr>
          <w:rFonts w:ascii="Arial" w:hAnsi="Arial" w:cs="Arial"/>
        </w:rPr>
      </w:pPr>
      <w:r>
        <w:rPr>
          <w:rFonts w:ascii="Arial" w:hAnsi="Arial" w:cs="Arial"/>
        </w:rPr>
        <w:t xml:space="preserve">It is the intent of the Board of Directors to have the Investment Advisory Committee </w:t>
      </w:r>
      <w:proofErr w:type="gramStart"/>
      <w:r>
        <w:rPr>
          <w:rFonts w:ascii="Arial" w:hAnsi="Arial" w:cs="Arial"/>
        </w:rPr>
        <w:t>apply</w:t>
      </w:r>
      <w:proofErr w:type="gramEnd"/>
      <w:r>
        <w:rPr>
          <w:rFonts w:ascii="Arial" w:hAnsi="Arial" w:cs="Arial"/>
        </w:rPr>
        <w:t xml:space="preserve"> the investment standards of the Uniform Prudent Management of Institutional Funds Act (UPMIFA) as they apply to both Donor Restricted Funds as well as Unrestricted Institutional Funds in the management of the</w:t>
      </w:r>
      <w:r w:rsidR="00AC0561">
        <w:rPr>
          <w:rFonts w:ascii="Arial" w:hAnsi="Arial" w:cs="Arial"/>
        </w:rPr>
        <w:t xml:space="preserve"> </w:t>
      </w:r>
      <w:r>
        <w:rPr>
          <w:rFonts w:ascii="Arial" w:hAnsi="Arial" w:cs="Arial"/>
        </w:rPr>
        <w:t>investment assets.</w:t>
      </w:r>
      <w:r w:rsidR="00AC0561">
        <w:rPr>
          <w:rFonts w:ascii="Arial" w:hAnsi="Arial" w:cs="Arial"/>
        </w:rPr>
        <w:t xml:space="preserve"> The following language was taken directly from Senate Bill 1329, which established UPMIFA Law in the State of </w:t>
      </w:r>
      <w:smartTag w:uri="urn:schemas-microsoft-com:office:smarttags" w:element="State">
        <w:smartTag w:uri="urn:schemas-microsoft-com:office:smarttags" w:element="place">
          <w:r w:rsidR="00AC0561">
            <w:rPr>
              <w:rFonts w:ascii="Arial" w:hAnsi="Arial" w:cs="Arial"/>
            </w:rPr>
            <w:t>California</w:t>
          </w:r>
        </w:smartTag>
      </w:smartTag>
      <w:r w:rsidR="00155820">
        <w:rPr>
          <w:rFonts w:ascii="Arial" w:hAnsi="Arial" w:cs="Arial"/>
        </w:rPr>
        <w:t>:</w:t>
      </w:r>
      <w:r w:rsidR="00AC0561">
        <w:rPr>
          <w:rFonts w:ascii="Arial" w:hAnsi="Arial" w:cs="Arial"/>
        </w:rPr>
        <w:t xml:space="preserve"> </w:t>
      </w:r>
    </w:p>
    <w:p w:rsidR="00B724DA" w:rsidRDefault="00B724DA">
      <w:pPr>
        <w:rPr>
          <w:rFonts w:ascii="Arial" w:hAnsi="Arial" w:cs="Arial"/>
        </w:rPr>
      </w:pPr>
    </w:p>
    <w:p w:rsidR="00B724DA" w:rsidRDefault="00B724DA">
      <w:pPr>
        <w:rPr>
          <w:rFonts w:ascii="Arial" w:hAnsi="Arial" w:cs="Arial"/>
        </w:rPr>
      </w:pPr>
      <w:r>
        <w:rPr>
          <w:rFonts w:ascii="Arial" w:hAnsi="Arial" w:cs="Arial"/>
          <w:i/>
          <w:u w:val="single"/>
        </w:rPr>
        <w:t>Donor Restricted Funds</w:t>
      </w:r>
      <w:r>
        <w:rPr>
          <w:rFonts w:ascii="Arial" w:hAnsi="Arial" w:cs="Arial"/>
        </w:rPr>
        <w:t xml:space="preserve"> </w:t>
      </w:r>
    </w:p>
    <w:p w:rsidR="00B724DA" w:rsidRDefault="00B724DA">
      <w:pPr>
        <w:rPr>
          <w:rFonts w:ascii="Arial" w:hAnsi="Arial" w:cs="Arial"/>
        </w:rPr>
      </w:pPr>
      <w:r>
        <w:rPr>
          <w:rFonts w:ascii="Arial" w:hAnsi="Arial" w:cs="Arial"/>
        </w:rPr>
        <w:t>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donor-restricted assets until appropriated for expenditure by the institution. In making a determination to appropriate or accumulate, the institution shall act in good faith, with the care that an ordinarily prudent person in a like position would exercise under similar circumstances, and shall consider, if relevant, all of the following factors:</w:t>
      </w:r>
    </w:p>
    <w:p w:rsidR="00B724DA" w:rsidRDefault="00B724DA">
      <w:pPr>
        <w:numPr>
          <w:ilvl w:val="0"/>
          <w:numId w:val="10"/>
        </w:numPr>
        <w:rPr>
          <w:rFonts w:ascii="Arial" w:hAnsi="Arial" w:cs="Arial"/>
        </w:rPr>
      </w:pPr>
      <w:r>
        <w:rPr>
          <w:rFonts w:ascii="Arial" w:hAnsi="Arial" w:cs="Arial"/>
        </w:rPr>
        <w:t>The duration and preservation of the endowment fund.</w:t>
      </w:r>
    </w:p>
    <w:p w:rsidR="00B724DA" w:rsidRDefault="00B724DA">
      <w:pPr>
        <w:numPr>
          <w:ilvl w:val="0"/>
          <w:numId w:val="10"/>
        </w:numPr>
        <w:rPr>
          <w:rFonts w:ascii="Arial" w:hAnsi="Arial" w:cs="Arial"/>
        </w:rPr>
      </w:pPr>
      <w:r>
        <w:rPr>
          <w:rFonts w:ascii="Arial" w:hAnsi="Arial" w:cs="Arial"/>
        </w:rPr>
        <w:t>The purposes of the institution and the endowment fund.</w:t>
      </w:r>
    </w:p>
    <w:p w:rsidR="00B724DA" w:rsidRDefault="00B724DA">
      <w:pPr>
        <w:numPr>
          <w:ilvl w:val="0"/>
          <w:numId w:val="10"/>
        </w:numPr>
        <w:rPr>
          <w:rFonts w:ascii="Arial" w:hAnsi="Arial" w:cs="Arial"/>
        </w:rPr>
      </w:pPr>
      <w:r>
        <w:rPr>
          <w:rFonts w:ascii="Arial" w:hAnsi="Arial" w:cs="Arial"/>
        </w:rPr>
        <w:t>General economic conditions.</w:t>
      </w:r>
    </w:p>
    <w:p w:rsidR="00B724DA" w:rsidRDefault="00B724DA">
      <w:pPr>
        <w:numPr>
          <w:ilvl w:val="0"/>
          <w:numId w:val="10"/>
        </w:numPr>
        <w:rPr>
          <w:rFonts w:ascii="Arial" w:hAnsi="Arial" w:cs="Arial"/>
        </w:rPr>
      </w:pPr>
      <w:r>
        <w:rPr>
          <w:rFonts w:ascii="Arial" w:hAnsi="Arial" w:cs="Arial"/>
        </w:rPr>
        <w:t>The possible effect of inflation or deflation.</w:t>
      </w:r>
    </w:p>
    <w:p w:rsidR="00B724DA" w:rsidRDefault="00B724DA">
      <w:pPr>
        <w:numPr>
          <w:ilvl w:val="0"/>
          <w:numId w:val="10"/>
        </w:numPr>
        <w:rPr>
          <w:rFonts w:ascii="Arial" w:hAnsi="Arial" w:cs="Arial"/>
        </w:rPr>
      </w:pPr>
      <w:r>
        <w:rPr>
          <w:rFonts w:ascii="Arial" w:hAnsi="Arial" w:cs="Arial"/>
        </w:rPr>
        <w:t>The expected total return from income and the appreciation of investments.</w:t>
      </w:r>
    </w:p>
    <w:p w:rsidR="00B724DA" w:rsidRDefault="00B724DA">
      <w:pPr>
        <w:numPr>
          <w:ilvl w:val="0"/>
          <w:numId w:val="10"/>
        </w:numPr>
        <w:rPr>
          <w:rFonts w:ascii="Arial" w:hAnsi="Arial" w:cs="Arial"/>
        </w:rPr>
      </w:pPr>
      <w:r>
        <w:rPr>
          <w:rFonts w:ascii="Arial" w:hAnsi="Arial" w:cs="Arial"/>
        </w:rPr>
        <w:t>Other resources of the institution.</w:t>
      </w:r>
    </w:p>
    <w:p w:rsidR="00B724DA" w:rsidRDefault="00B724DA">
      <w:pPr>
        <w:numPr>
          <w:ilvl w:val="0"/>
          <w:numId w:val="10"/>
        </w:numPr>
        <w:rPr>
          <w:rFonts w:ascii="Arial" w:hAnsi="Arial" w:cs="Arial"/>
        </w:rPr>
      </w:pPr>
      <w:r>
        <w:rPr>
          <w:rFonts w:ascii="Arial" w:hAnsi="Arial" w:cs="Arial"/>
        </w:rPr>
        <w:t>The investment policy of the institution.</w:t>
      </w:r>
    </w:p>
    <w:p w:rsidR="00B724DA" w:rsidRDefault="00B724DA">
      <w:pPr>
        <w:rPr>
          <w:rFonts w:ascii="Arial" w:hAnsi="Arial" w:cs="Arial"/>
        </w:rPr>
      </w:pPr>
    </w:p>
    <w:p w:rsidR="00B724DA" w:rsidRDefault="00B724DA">
      <w:pPr>
        <w:rPr>
          <w:rFonts w:ascii="Arial" w:hAnsi="Arial" w:cs="Arial"/>
          <w:i/>
          <w:u w:val="single"/>
        </w:rPr>
      </w:pPr>
      <w:r>
        <w:rPr>
          <w:rFonts w:ascii="Arial" w:hAnsi="Arial" w:cs="Arial"/>
          <w:i/>
          <w:u w:val="single"/>
        </w:rPr>
        <w:t>Unrestricted Institutional Funds</w:t>
      </w:r>
    </w:p>
    <w:p w:rsidR="00B724DA" w:rsidRDefault="00B724DA">
      <w:pPr>
        <w:rPr>
          <w:rFonts w:ascii="Arial" w:hAnsi="Arial" w:cs="Arial"/>
        </w:rPr>
      </w:pPr>
      <w:r>
        <w:rPr>
          <w:rFonts w:ascii="Arial" w:hAnsi="Arial" w:cs="Arial"/>
        </w:rPr>
        <w:t>In managing and investing unrestricted institutional funds, all of the following factors, if relevant, must be considered:</w:t>
      </w:r>
    </w:p>
    <w:p w:rsidR="00B724DA" w:rsidRDefault="00B724DA">
      <w:pPr>
        <w:numPr>
          <w:ilvl w:val="0"/>
          <w:numId w:val="10"/>
        </w:numPr>
        <w:rPr>
          <w:rFonts w:ascii="Arial" w:hAnsi="Arial" w:cs="Arial"/>
        </w:rPr>
      </w:pPr>
      <w:r>
        <w:rPr>
          <w:rFonts w:ascii="Arial" w:hAnsi="Arial" w:cs="Arial"/>
        </w:rPr>
        <w:t>General economic conditions.</w:t>
      </w:r>
    </w:p>
    <w:p w:rsidR="00B724DA" w:rsidRDefault="00B724DA">
      <w:pPr>
        <w:numPr>
          <w:ilvl w:val="0"/>
          <w:numId w:val="10"/>
        </w:numPr>
        <w:rPr>
          <w:rFonts w:ascii="Arial" w:hAnsi="Arial" w:cs="Arial"/>
        </w:rPr>
      </w:pPr>
      <w:r>
        <w:rPr>
          <w:rFonts w:ascii="Arial" w:hAnsi="Arial" w:cs="Arial"/>
        </w:rPr>
        <w:t>The possible effect of inflation or deflation.</w:t>
      </w:r>
    </w:p>
    <w:p w:rsidR="00B724DA" w:rsidRDefault="00B724DA">
      <w:pPr>
        <w:numPr>
          <w:ilvl w:val="0"/>
          <w:numId w:val="10"/>
        </w:numPr>
        <w:rPr>
          <w:rFonts w:ascii="Arial" w:hAnsi="Arial" w:cs="Arial"/>
        </w:rPr>
      </w:pPr>
      <w:r>
        <w:rPr>
          <w:rFonts w:ascii="Arial" w:hAnsi="Arial" w:cs="Arial"/>
        </w:rPr>
        <w:t>The expected tax consequences, if any, of investment decisions or strategies.</w:t>
      </w:r>
    </w:p>
    <w:p w:rsidR="00B724DA" w:rsidRDefault="00B724DA">
      <w:pPr>
        <w:numPr>
          <w:ilvl w:val="0"/>
          <w:numId w:val="10"/>
        </w:numPr>
        <w:rPr>
          <w:rFonts w:ascii="Arial" w:hAnsi="Arial" w:cs="Arial"/>
        </w:rPr>
      </w:pPr>
      <w:r>
        <w:rPr>
          <w:rFonts w:ascii="Arial" w:hAnsi="Arial" w:cs="Arial"/>
        </w:rPr>
        <w:t>The role that each investment or course of action plays within the overall investment portfolio of the funds assets.</w:t>
      </w:r>
    </w:p>
    <w:p w:rsidR="00B724DA" w:rsidRDefault="00B724DA">
      <w:pPr>
        <w:numPr>
          <w:ilvl w:val="0"/>
          <w:numId w:val="10"/>
        </w:numPr>
        <w:rPr>
          <w:rFonts w:ascii="Arial" w:hAnsi="Arial" w:cs="Arial"/>
        </w:rPr>
      </w:pPr>
      <w:r>
        <w:rPr>
          <w:rFonts w:ascii="Arial" w:hAnsi="Arial" w:cs="Arial"/>
        </w:rPr>
        <w:t>The expected total return from income and the appreciation of investments.</w:t>
      </w:r>
    </w:p>
    <w:p w:rsidR="00B724DA" w:rsidRDefault="00B724DA">
      <w:pPr>
        <w:numPr>
          <w:ilvl w:val="0"/>
          <w:numId w:val="10"/>
        </w:numPr>
        <w:rPr>
          <w:rFonts w:ascii="Arial" w:hAnsi="Arial" w:cs="Arial"/>
        </w:rPr>
      </w:pPr>
      <w:r>
        <w:rPr>
          <w:rFonts w:ascii="Arial" w:hAnsi="Arial" w:cs="Arial"/>
        </w:rPr>
        <w:t>Other resources of the institution.</w:t>
      </w:r>
    </w:p>
    <w:p w:rsidR="00B724DA" w:rsidRDefault="00B724DA">
      <w:pPr>
        <w:numPr>
          <w:ilvl w:val="0"/>
          <w:numId w:val="10"/>
        </w:numPr>
        <w:rPr>
          <w:rFonts w:ascii="Arial" w:hAnsi="Arial" w:cs="Arial"/>
        </w:rPr>
      </w:pPr>
      <w:r>
        <w:rPr>
          <w:rFonts w:ascii="Arial" w:hAnsi="Arial" w:cs="Arial"/>
        </w:rPr>
        <w:t>The needs of the institution and the funds to make distributions and to preserve capital.</w:t>
      </w:r>
    </w:p>
    <w:p w:rsidR="00B724DA" w:rsidRDefault="00B724DA">
      <w:pPr>
        <w:numPr>
          <w:ilvl w:val="0"/>
          <w:numId w:val="10"/>
        </w:numPr>
        <w:rPr>
          <w:rFonts w:ascii="Arial" w:hAnsi="Arial" w:cs="Arial"/>
        </w:rPr>
      </w:pPr>
      <w:r>
        <w:rPr>
          <w:rFonts w:ascii="Arial" w:hAnsi="Arial" w:cs="Arial"/>
        </w:rPr>
        <w:t>An asset's special relationship or special value, if any, to the charitable purposes of the institution.</w:t>
      </w:r>
    </w:p>
    <w:p w:rsidR="00B724DA" w:rsidRDefault="00B724DA">
      <w:pPr>
        <w:numPr>
          <w:ilvl w:val="0"/>
          <w:numId w:val="10"/>
        </w:numPr>
        <w:rPr>
          <w:rFonts w:ascii="Arial" w:hAnsi="Arial" w:cs="Arial"/>
        </w:rPr>
      </w:pPr>
      <w:r>
        <w:rPr>
          <w:rFonts w:ascii="Arial" w:hAnsi="Arial" w:cs="Arial"/>
        </w:rPr>
        <w:t>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funds and to the institution.</w:t>
      </w:r>
    </w:p>
    <w:p w:rsidR="00B724DA" w:rsidRDefault="00B724DA">
      <w:pPr>
        <w:numPr>
          <w:ilvl w:val="0"/>
          <w:numId w:val="10"/>
        </w:numPr>
        <w:rPr>
          <w:rFonts w:ascii="Arial" w:hAnsi="Arial" w:cs="Arial"/>
        </w:rPr>
      </w:pPr>
      <w:r>
        <w:rPr>
          <w:rFonts w:ascii="Arial" w:hAnsi="Arial" w:cs="Arial"/>
        </w:rPr>
        <w:t>Except as otherwise provided by law other than this part, an institution may invest in any kind of property or type of investment consistent with this section.</w:t>
      </w:r>
    </w:p>
    <w:p w:rsidR="00B724DA" w:rsidRDefault="00B724DA">
      <w:pPr>
        <w:numPr>
          <w:ilvl w:val="0"/>
          <w:numId w:val="10"/>
        </w:numPr>
        <w:rPr>
          <w:rFonts w:ascii="Arial" w:hAnsi="Arial" w:cs="Arial"/>
        </w:rPr>
      </w:pPr>
      <w:r>
        <w:rPr>
          <w:rFonts w:ascii="Arial" w:hAnsi="Arial" w:cs="Arial"/>
        </w:rPr>
        <w:lastRenderedPageBreak/>
        <w:t xml:space="preserve">An institution shall diversify the investments of </w:t>
      </w:r>
      <w:r w:rsidR="00572758">
        <w:rPr>
          <w:rFonts w:ascii="Arial" w:hAnsi="Arial" w:cs="Arial"/>
        </w:rPr>
        <w:t>i</w:t>
      </w:r>
      <w:r>
        <w:rPr>
          <w:rFonts w:ascii="Arial" w:hAnsi="Arial" w:cs="Arial"/>
        </w:rPr>
        <w:t>nstitutional funds unless the institution reasonably determines that, because of special circumstances, the purposes of the funds are better served without diversification.</w:t>
      </w:r>
    </w:p>
    <w:p w:rsidR="00B724DA" w:rsidRDefault="00B724DA">
      <w:pPr>
        <w:numPr>
          <w:ilvl w:val="0"/>
          <w:numId w:val="10"/>
        </w:numPr>
        <w:rPr>
          <w:rFonts w:ascii="Arial" w:hAnsi="Arial" w:cs="Arial"/>
        </w:rPr>
      </w:pPr>
      <w:r>
        <w:rPr>
          <w:rFonts w:ascii="Arial" w:hAnsi="Arial" w:cs="Arial"/>
        </w:rPr>
        <w:t>Within a reasonable time after receiving property, an institution shall make and carry out decisions concerning the retention or disposition of the property or to rebalance a portfolio, in order to bring the institutional funds into compliance with the purposes, terms, and distribution requirements of the institution as necessary to meet other circumstances of the institution and the requirements of this part.</w:t>
      </w:r>
    </w:p>
    <w:p w:rsidR="00B724DA" w:rsidRDefault="00B724DA">
      <w:pPr>
        <w:numPr>
          <w:ilvl w:val="0"/>
          <w:numId w:val="10"/>
        </w:numPr>
        <w:rPr>
          <w:rFonts w:ascii="Arial" w:hAnsi="Arial" w:cs="Arial"/>
        </w:rPr>
      </w:pPr>
      <w:r>
        <w:rPr>
          <w:rFonts w:ascii="Arial" w:hAnsi="Arial" w:cs="Arial"/>
        </w:rPr>
        <w:t>A person that has special skills or expertise, or is selected in reliance upon the person's representation that the person has special skills or expertise, has a duty to use those skills or that expertise in managing and investing institutional funds.</w:t>
      </w:r>
    </w:p>
    <w:p w:rsidR="00B724DA" w:rsidRDefault="00B724DA">
      <w:pPr>
        <w:numPr>
          <w:ilvl w:val="0"/>
          <w:numId w:val="10"/>
        </w:numPr>
        <w:rPr>
          <w:rFonts w:ascii="Arial" w:hAnsi="Arial" w:cs="Arial"/>
        </w:rPr>
      </w:pPr>
      <w:r>
        <w:rPr>
          <w:rFonts w:ascii="Arial" w:hAnsi="Arial" w:cs="Arial"/>
        </w:rPr>
        <w:t>The investment policy of the institution.</w:t>
      </w:r>
    </w:p>
    <w:p w:rsidR="00B724DA" w:rsidRDefault="00B724DA">
      <w:pPr>
        <w:rPr>
          <w:rFonts w:ascii="Arial" w:hAnsi="Arial" w:cs="Arial"/>
        </w:rPr>
      </w:pPr>
    </w:p>
    <w:p w:rsidR="00B724DA" w:rsidRDefault="00B724DA">
      <w:pPr>
        <w:rPr>
          <w:rFonts w:ascii="Arial" w:hAnsi="Arial" w:cs="Arial"/>
        </w:rPr>
      </w:pPr>
      <w:r>
        <w:rPr>
          <w:rFonts w:ascii="Arial" w:hAnsi="Arial" w:cs="Arial"/>
        </w:rPr>
        <w:t xml:space="preserve">Fiduciary responsibility for decisions regarding the management of </w:t>
      </w:r>
      <w:proofErr w:type="gramStart"/>
      <w:r>
        <w:rPr>
          <w:rFonts w:ascii="Arial" w:hAnsi="Arial" w:cs="Arial"/>
        </w:rPr>
        <w:t>investment  assets</w:t>
      </w:r>
      <w:proofErr w:type="gramEnd"/>
      <w:r>
        <w:rPr>
          <w:rFonts w:ascii="Arial" w:hAnsi="Arial" w:cs="Arial"/>
        </w:rPr>
        <w:t xml:space="preserve"> rests jointly with the Investment Advisory Committee, the Investment Management Consultant and the Investment Managers hired by the Community Foundation of Sonoma County.</w:t>
      </w:r>
    </w:p>
    <w:p w:rsidR="00B724DA" w:rsidRDefault="00B724DA">
      <w:pPr>
        <w:keepNext/>
        <w:keepLines/>
        <w:jc w:val="both"/>
        <w:rPr>
          <w:rFonts w:ascii="Arial" w:hAnsi="Arial" w:cs="Arial"/>
        </w:rPr>
      </w:pPr>
    </w:p>
    <w:p w:rsidR="00B724DA" w:rsidRDefault="00B724DA">
      <w:pPr>
        <w:keepNext/>
        <w:keepLines/>
        <w:jc w:val="both"/>
        <w:rPr>
          <w:rFonts w:ascii="Arial" w:hAnsi="Arial" w:cs="Arial"/>
        </w:rPr>
      </w:pPr>
    </w:p>
    <w:p w:rsidR="00B724DA" w:rsidRDefault="00B724DA">
      <w:pPr>
        <w:pStyle w:val="StyleHeading1Black"/>
        <w:rPr>
          <w:rFonts w:ascii="Arial" w:hAnsi="Arial" w:cs="Arial"/>
        </w:rPr>
      </w:pPr>
      <w:bookmarkStart w:id="5" w:name="_Toc285123353"/>
      <w:r>
        <w:rPr>
          <w:rFonts w:ascii="Arial" w:hAnsi="Arial" w:cs="Arial"/>
        </w:rPr>
        <w:t>DELEGATION OF AUTHORITY</w:t>
      </w:r>
      <w:bookmarkEnd w:id="5"/>
    </w:p>
    <w:p w:rsidR="00B724DA" w:rsidRDefault="00B724DA">
      <w:pPr>
        <w:rPr>
          <w:rFonts w:ascii="Arial" w:hAnsi="Arial" w:cs="Arial"/>
        </w:rPr>
      </w:pPr>
      <w:r>
        <w:rPr>
          <w:rFonts w:ascii="Arial" w:hAnsi="Arial" w:cs="Arial"/>
        </w:rPr>
        <w:t xml:space="preserve">The Board of Directors </w:t>
      </w:r>
      <w:proofErr w:type="gramStart"/>
      <w:r>
        <w:rPr>
          <w:rFonts w:ascii="Arial" w:hAnsi="Arial" w:cs="Arial"/>
        </w:rPr>
        <w:t>are</w:t>
      </w:r>
      <w:proofErr w:type="gramEnd"/>
      <w:r>
        <w:rPr>
          <w:rFonts w:ascii="Arial" w:hAnsi="Arial" w:cs="Arial"/>
        </w:rPr>
        <w:t xml:space="preserve"> fiduciaries and are responsible for the general management of the Fund’s assets.  The responsibility for the management of investment assets has been delegated to the Investment Advisory Committee through this Statement of Investment Policy, Objectives and Guidelines.  The Investment Advisory Committee is also authorized to delegate certain responsibilities to professional experts in various fields.  These include, but are not limited to:</w:t>
      </w:r>
    </w:p>
    <w:p w:rsidR="008A06B8" w:rsidRDefault="00B724DA" w:rsidP="008A06B8">
      <w:pPr>
        <w:numPr>
          <w:ilvl w:val="0"/>
          <w:numId w:val="41"/>
        </w:numPr>
        <w:spacing w:before="100" w:beforeAutospacing="1" w:after="100" w:afterAutospacing="1"/>
        <w:jc w:val="both"/>
        <w:rPr>
          <w:rFonts w:ascii="Arial" w:hAnsi="Arial" w:cs="Arial"/>
          <w:bCs/>
        </w:rPr>
      </w:pPr>
      <w:r>
        <w:rPr>
          <w:rFonts w:ascii="Arial" w:hAnsi="Arial" w:cs="Arial"/>
          <w:bCs/>
        </w:rPr>
        <w:t xml:space="preserve">Investment Management Consultant.  The Investment Management Consultant may assist the Investment Advisory Committee in establishing investment policy, objectives and guidelines and providing advice on all matters regarding the management of the investment assets. </w:t>
      </w:r>
    </w:p>
    <w:p w:rsidR="008A06B8" w:rsidRDefault="00B724DA" w:rsidP="008A06B8">
      <w:pPr>
        <w:numPr>
          <w:ilvl w:val="0"/>
          <w:numId w:val="41"/>
        </w:numPr>
        <w:spacing w:before="100" w:beforeAutospacing="1" w:after="100" w:afterAutospacing="1"/>
        <w:jc w:val="both"/>
        <w:rPr>
          <w:rFonts w:ascii="Arial" w:hAnsi="Arial" w:cs="Arial"/>
          <w:bCs/>
        </w:rPr>
      </w:pPr>
      <w:r w:rsidRPr="008A06B8">
        <w:rPr>
          <w:rFonts w:ascii="Arial" w:hAnsi="Arial" w:cs="Arial"/>
          <w:bCs/>
        </w:rPr>
        <w:t>Investment Manager(s).  The investment manager(s) will have discretion to purchase, sell or hold the specific securities in their management of investment assets.</w:t>
      </w:r>
    </w:p>
    <w:p w:rsidR="008A06B8" w:rsidRDefault="00B724DA" w:rsidP="008A06B8">
      <w:pPr>
        <w:numPr>
          <w:ilvl w:val="0"/>
          <w:numId w:val="41"/>
        </w:numPr>
        <w:spacing w:before="100" w:beforeAutospacing="1" w:after="100" w:afterAutospacing="1"/>
        <w:jc w:val="both"/>
        <w:rPr>
          <w:rFonts w:ascii="Arial" w:hAnsi="Arial" w:cs="Arial"/>
          <w:bCs/>
        </w:rPr>
      </w:pPr>
      <w:r w:rsidRPr="008A06B8">
        <w:rPr>
          <w:rFonts w:ascii="Arial" w:hAnsi="Arial" w:cs="Arial"/>
          <w:bCs/>
        </w:rPr>
        <w:t>Custodian.  The custodian will physically (or through agreement with a sub-custodian) maintain possession of securities owned by the Funds, collect dividend and interest payments, redeem maturing securities, and effect receipt and delivery following purchases and sales.  The custodian may also perform regular accounting of all of the investment assets.</w:t>
      </w:r>
    </w:p>
    <w:p w:rsidR="00B724DA" w:rsidRPr="008A06B8" w:rsidRDefault="00B724DA" w:rsidP="008A06B8">
      <w:pPr>
        <w:numPr>
          <w:ilvl w:val="0"/>
          <w:numId w:val="41"/>
        </w:numPr>
        <w:spacing w:before="100" w:beforeAutospacing="1" w:after="100" w:afterAutospacing="1"/>
        <w:jc w:val="both"/>
        <w:rPr>
          <w:rFonts w:ascii="Arial" w:hAnsi="Arial" w:cs="Arial"/>
          <w:bCs/>
        </w:rPr>
      </w:pPr>
      <w:r w:rsidRPr="008A06B8">
        <w:rPr>
          <w:rFonts w:ascii="Arial" w:hAnsi="Arial" w:cs="Arial"/>
          <w:bCs/>
        </w:rPr>
        <w:t>Additional specialists such as attorneys, auditors, and others may be employed by the Board of Directors to assist in meeting its responsibilities and obligations to administer investment assets prudently.</w:t>
      </w:r>
    </w:p>
    <w:p w:rsidR="00B724DA" w:rsidRDefault="00B724DA">
      <w:pPr>
        <w:pStyle w:val="Heading2"/>
        <w:rPr>
          <w:i w:val="0"/>
          <w:iCs w:val="0"/>
          <w:sz w:val="24"/>
        </w:rPr>
      </w:pPr>
      <w:bookmarkStart w:id="6" w:name="_Toc285123354"/>
      <w:bookmarkStart w:id="7" w:name="_Toc110504406"/>
      <w:bookmarkStart w:id="8" w:name="_Toc119475472"/>
      <w:r>
        <w:rPr>
          <w:i w:val="0"/>
          <w:iCs w:val="0"/>
          <w:sz w:val="24"/>
        </w:rPr>
        <w:t>Responsibility of the Board of Directors</w:t>
      </w:r>
      <w:bookmarkEnd w:id="6"/>
    </w:p>
    <w:p w:rsidR="00B724DA" w:rsidRDefault="00B724DA">
      <w:pPr>
        <w:rPr>
          <w:rFonts w:ascii="Arial" w:hAnsi="Arial" w:cs="Arial"/>
        </w:rPr>
      </w:pPr>
      <w:r>
        <w:rPr>
          <w:rFonts w:ascii="Arial" w:hAnsi="Arial" w:cs="Arial"/>
        </w:rPr>
        <w:t>As it relates to the investment of fund assets, the Board of Directors is responsible for:</w:t>
      </w:r>
    </w:p>
    <w:p w:rsidR="00B724DA" w:rsidRDefault="00B724DA">
      <w:pPr>
        <w:numPr>
          <w:ilvl w:val="0"/>
          <w:numId w:val="10"/>
        </w:numPr>
        <w:rPr>
          <w:rFonts w:ascii="Arial" w:hAnsi="Arial" w:cs="Arial"/>
        </w:rPr>
      </w:pPr>
      <w:r>
        <w:rPr>
          <w:rFonts w:ascii="Arial" w:hAnsi="Arial" w:cs="Arial"/>
        </w:rPr>
        <w:t>Ensuring that the costs are appropriate and reasonable in relation to the assets, the purposes of the institution, and the skills available to the institution.</w:t>
      </w:r>
    </w:p>
    <w:p w:rsidR="00B724DA" w:rsidRDefault="00B724DA">
      <w:pPr>
        <w:numPr>
          <w:ilvl w:val="0"/>
          <w:numId w:val="10"/>
        </w:numPr>
        <w:rPr>
          <w:rFonts w:ascii="Arial" w:hAnsi="Arial" w:cs="Arial"/>
        </w:rPr>
      </w:pPr>
      <w:r>
        <w:rPr>
          <w:rFonts w:ascii="Arial" w:hAnsi="Arial" w:cs="Arial"/>
        </w:rPr>
        <w:lastRenderedPageBreak/>
        <w:t>Mak</w:t>
      </w:r>
      <w:r w:rsidR="00153F92">
        <w:rPr>
          <w:rFonts w:ascii="Arial" w:hAnsi="Arial" w:cs="Arial"/>
        </w:rPr>
        <w:t>ing</w:t>
      </w:r>
      <w:r>
        <w:rPr>
          <w:rFonts w:ascii="Arial" w:hAnsi="Arial" w:cs="Arial"/>
        </w:rPr>
        <w:t xml:space="preserve"> reasonable effort to verify facts relevant to the management and investment of the various investment funds. </w:t>
      </w:r>
    </w:p>
    <w:p w:rsidR="004D5A1E" w:rsidRDefault="004D5A1E">
      <w:pPr>
        <w:numPr>
          <w:ilvl w:val="0"/>
          <w:numId w:val="10"/>
        </w:numPr>
        <w:rPr>
          <w:rFonts w:ascii="Arial" w:hAnsi="Arial" w:cs="Arial"/>
        </w:rPr>
      </w:pPr>
      <w:r>
        <w:rPr>
          <w:rFonts w:ascii="Arial" w:hAnsi="Arial" w:cs="Arial"/>
        </w:rPr>
        <w:t>Approving the selection, retention and termination of the Investment Management Consultant</w:t>
      </w:r>
    </w:p>
    <w:p w:rsidR="00B724DA" w:rsidRDefault="00B724DA">
      <w:pPr>
        <w:numPr>
          <w:ilvl w:val="0"/>
          <w:numId w:val="10"/>
        </w:numPr>
        <w:rPr>
          <w:rFonts w:ascii="Arial" w:hAnsi="Arial" w:cs="Arial"/>
        </w:rPr>
      </w:pPr>
      <w:r>
        <w:rPr>
          <w:rFonts w:ascii="Arial" w:hAnsi="Arial" w:cs="Arial"/>
        </w:rPr>
        <w:t xml:space="preserve">Approving investment and spending policies for the various investment funds. </w:t>
      </w:r>
    </w:p>
    <w:p w:rsidR="00B724DA" w:rsidRDefault="00B724DA">
      <w:pPr>
        <w:pStyle w:val="Heading2"/>
        <w:rPr>
          <w:i w:val="0"/>
          <w:iCs w:val="0"/>
          <w:sz w:val="24"/>
        </w:rPr>
      </w:pPr>
      <w:bookmarkStart w:id="9" w:name="_Toc285123355"/>
      <w:r>
        <w:rPr>
          <w:i w:val="0"/>
          <w:iCs w:val="0"/>
          <w:sz w:val="24"/>
        </w:rPr>
        <w:t xml:space="preserve">Responsibility of </w:t>
      </w:r>
      <w:bookmarkEnd w:id="7"/>
      <w:bookmarkEnd w:id="8"/>
      <w:r>
        <w:rPr>
          <w:i w:val="0"/>
          <w:iCs w:val="0"/>
          <w:sz w:val="24"/>
        </w:rPr>
        <w:t>Investment Advisory Committee</w:t>
      </w:r>
      <w:bookmarkEnd w:id="9"/>
    </w:p>
    <w:p w:rsidR="00B724DA" w:rsidRDefault="00B724DA">
      <w:pPr>
        <w:numPr>
          <w:ilvl w:val="0"/>
          <w:numId w:val="10"/>
        </w:numPr>
        <w:rPr>
          <w:rFonts w:ascii="Arial" w:hAnsi="Arial" w:cs="Arial"/>
        </w:rPr>
      </w:pPr>
      <w:r>
        <w:rPr>
          <w:rFonts w:ascii="Arial" w:hAnsi="Arial" w:cs="Arial"/>
        </w:rPr>
        <w:t>Formulating and recommending the investment and spending policies for the various investment funds to the Board of Directors.</w:t>
      </w:r>
    </w:p>
    <w:p w:rsidR="00B724DA" w:rsidRDefault="00B724DA">
      <w:pPr>
        <w:numPr>
          <w:ilvl w:val="0"/>
          <w:numId w:val="10"/>
        </w:numPr>
        <w:rPr>
          <w:rFonts w:ascii="Arial" w:hAnsi="Arial" w:cs="Arial"/>
        </w:rPr>
      </w:pPr>
      <w:r>
        <w:rPr>
          <w:rFonts w:ascii="Arial" w:hAnsi="Arial" w:cs="Arial"/>
        </w:rPr>
        <w:t>Determining if the overall policies and objectives continue to be appropriate and reasonable and to propose adjustments if necessary.</w:t>
      </w:r>
    </w:p>
    <w:p w:rsidR="00B724DA" w:rsidRDefault="00AC0561">
      <w:pPr>
        <w:numPr>
          <w:ilvl w:val="0"/>
          <w:numId w:val="10"/>
        </w:numPr>
        <w:rPr>
          <w:rFonts w:ascii="Arial" w:hAnsi="Arial" w:cs="Arial"/>
        </w:rPr>
      </w:pPr>
      <w:r>
        <w:rPr>
          <w:rFonts w:ascii="Arial" w:hAnsi="Arial" w:cs="Arial"/>
        </w:rPr>
        <w:t xml:space="preserve">Recommending </w:t>
      </w:r>
      <w:r w:rsidR="004D5A1E">
        <w:rPr>
          <w:rFonts w:ascii="Arial" w:hAnsi="Arial" w:cs="Arial"/>
        </w:rPr>
        <w:t xml:space="preserve">to the Board of Directors </w:t>
      </w:r>
      <w:r>
        <w:rPr>
          <w:rFonts w:ascii="Arial" w:hAnsi="Arial" w:cs="Arial"/>
        </w:rPr>
        <w:t>the</w:t>
      </w:r>
      <w:r w:rsidR="00B724DA">
        <w:rPr>
          <w:rFonts w:ascii="Arial" w:hAnsi="Arial" w:cs="Arial"/>
        </w:rPr>
        <w:t xml:space="preserve"> selection, retention and termination of the Investment Management Consultant</w:t>
      </w:r>
      <w:r>
        <w:rPr>
          <w:rFonts w:ascii="Arial" w:hAnsi="Arial" w:cs="Arial"/>
        </w:rPr>
        <w:t>.</w:t>
      </w:r>
    </w:p>
    <w:p w:rsidR="00572758" w:rsidRDefault="00572758" w:rsidP="00572758">
      <w:pPr>
        <w:numPr>
          <w:ilvl w:val="0"/>
          <w:numId w:val="10"/>
        </w:numPr>
        <w:rPr>
          <w:rFonts w:ascii="Arial" w:hAnsi="Arial" w:cs="Arial"/>
        </w:rPr>
      </w:pPr>
      <w:r>
        <w:rPr>
          <w:rFonts w:ascii="Arial" w:hAnsi="Arial" w:cs="Arial"/>
        </w:rPr>
        <w:t>Reviewing and monitoring the performance of the Investment Management Consultant and the services they provide to the committee.</w:t>
      </w:r>
    </w:p>
    <w:p w:rsidR="00B724DA" w:rsidRDefault="00B724DA">
      <w:pPr>
        <w:numPr>
          <w:ilvl w:val="0"/>
          <w:numId w:val="10"/>
        </w:numPr>
        <w:rPr>
          <w:rFonts w:ascii="Arial" w:hAnsi="Arial" w:cs="Arial"/>
        </w:rPr>
      </w:pPr>
      <w:r>
        <w:rPr>
          <w:rFonts w:ascii="Arial" w:hAnsi="Arial" w:cs="Arial"/>
        </w:rPr>
        <w:t>Approving asset allocation adjustments recommended by the Investment Management Consultant within the policy guidelines.</w:t>
      </w:r>
    </w:p>
    <w:p w:rsidR="00B724DA" w:rsidRDefault="00B724DA">
      <w:pPr>
        <w:numPr>
          <w:ilvl w:val="0"/>
          <w:numId w:val="10"/>
        </w:numPr>
        <w:rPr>
          <w:rFonts w:ascii="Arial" w:hAnsi="Arial" w:cs="Arial"/>
        </w:rPr>
      </w:pPr>
      <w:r>
        <w:rPr>
          <w:rFonts w:ascii="Arial" w:hAnsi="Arial" w:cs="Arial"/>
        </w:rPr>
        <w:t xml:space="preserve">Approving the selection and termination of investment managers based on the Investment Management Consultant recommendations.  </w:t>
      </w:r>
    </w:p>
    <w:p w:rsidR="00B35AA4" w:rsidRDefault="00B724DA" w:rsidP="00B35AA4">
      <w:pPr>
        <w:numPr>
          <w:ilvl w:val="0"/>
          <w:numId w:val="10"/>
        </w:numPr>
        <w:rPr>
          <w:rFonts w:ascii="Arial" w:hAnsi="Arial" w:cs="Arial"/>
        </w:rPr>
      </w:pPr>
      <w:r>
        <w:rPr>
          <w:rFonts w:ascii="Arial" w:hAnsi="Arial" w:cs="Arial"/>
        </w:rPr>
        <w:t>Reviewing the performance of the various investment funds to their stated objectives.</w:t>
      </w:r>
    </w:p>
    <w:p w:rsidR="00B724DA" w:rsidRDefault="00B35AA4">
      <w:pPr>
        <w:numPr>
          <w:ilvl w:val="0"/>
          <w:numId w:val="10"/>
        </w:numPr>
        <w:rPr>
          <w:rFonts w:ascii="Arial" w:hAnsi="Arial" w:cs="Arial"/>
        </w:rPr>
      </w:pPr>
      <w:r w:rsidRPr="00B35AA4">
        <w:rPr>
          <w:rFonts w:ascii="Arial" w:hAnsi="Arial" w:cs="Arial"/>
        </w:rPr>
        <w:t>Providing an annual report to the Board of Directors regarding (1) whether costs related to the investment of fund assets are appropriate and reasonable in relation to the assets, the purposes of the institution, and the skills available to the institution and (2) facts relevant to the management and investment of the various investment funds."</w:t>
      </w:r>
      <w:r w:rsidR="00B724DA">
        <w:rPr>
          <w:rFonts w:ascii="Arial" w:hAnsi="Arial" w:cs="Arial"/>
        </w:rPr>
        <w:t xml:space="preserve">  </w:t>
      </w:r>
    </w:p>
    <w:p w:rsidR="00B724DA" w:rsidRDefault="00B724DA">
      <w:pPr>
        <w:pStyle w:val="Heading2"/>
        <w:rPr>
          <w:i w:val="0"/>
          <w:iCs w:val="0"/>
          <w:sz w:val="24"/>
        </w:rPr>
      </w:pPr>
      <w:bookmarkStart w:id="10" w:name="_Toc285123356"/>
      <w:r>
        <w:rPr>
          <w:i w:val="0"/>
          <w:iCs w:val="0"/>
          <w:sz w:val="24"/>
        </w:rPr>
        <w:t>Responsibility of the Investment Management Consultant(s)</w:t>
      </w:r>
      <w:bookmarkEnd w:id="10"/>
    </w:p>
    <w:p w:rsidR="00B724DA" w:rsidRDefault="00B724DA">
      <w:pPr>
        <w:rPr>
          <w:rFonts w:ascii="Arial" w:hAnsi="Arial" w:cs="Arial"/>
        </w:rPr>
      </w:pPr>
      <w:r>
        <w:rPr>
          <w:rFonts w:ascii="Arial" w:hAnsi="Arial" w:cs="Arial"/>
        </w:rPr>
        <w:t xml:space="preserve">The Investment Management Consultant's role is that of a </w:t>
      </w:r>
      <w:r>
        <w:rPr>
          <w:rFonts w:ascii="Arial" w:hAnsi="Arial" w:cs="Arial"/>
          <w:u w:val="single"/>
        </w:rPr>
        <w:t>non-discretionary</w:t>
      </w:r>
      <w:r>
        <w:rPr>
          <w:rFonts w:ascii="Arial" w:hAnsi="Arial" w:cs="Arial"/>
        </w:rPr>
        <w:t xml:space="preserve"> advisor to the Investment Advisory Committee.  Specific responsibilities of the Investment Management Consultant include:</w:t>
      </w:r>
    </w:p>
    <w:p w:rsidR="00B724DA" w:rsidRDefault="00AC0561">
      <w:pPr>
        <w:numPr>
          <w:ilvl w:val="0"/>
          <w:numId w:val="10"/>
        </w:numPr>
        <w:rPr>
          <w:rFonts w:ascii="Arial" w:hAnsi="Arial" w:cs="Arial"/>
        </w:rPr>
      </w:pPr>
      <w:r>
        <w:rPr>
          <w:rFonts w:ascii="Arial" w:hAnsi="Arial" w:cs="Arial"/>
        </w:rPr>
        <w:t xml:space="preserve">Evaluating </w:t>
      </w:r>
      <w:r w:rsidR="00B724DA">
        <w:rPr>
          <w:rFonts w:ascii="Arial" w:hAnsi="Arial" w:cs="Arial"/>
        </w:rPr>
        <w:t>the financial markets and the economy in light of the each Fund’s investment activity</w:t>
      </w:r>
    </w:p>
    <w:p w:rsidR="00B724DA" w:rsidRDefault="00B724DA">
      <w:pPr>
        <w:numPr>
          <w:ilvl w:val="0"/>
          <w:numId w:val="10"/>
        </w:numPr>
        <w:rPr>
          <w:rFonts w:ascii="Arial" w:hAnsi="Arial" w:cs="Arial"/>
        </w:rPr>
      </w:pPr>
      <w:r>
        <w:rPr>
          <w:rFonts w:ascii="Arial" w:hAnsi="Arial" w:cs="Arial"/>
        </w:rPr>
        <w:t>Providing the Investment Advisory Committee proactive advice and recommendations on all matters of investment management in order to prudently guide the investment funds in meeting their investment objectives.</w:t>
      </w:r>
    </w:p>
    <w:p w:rsidR="00B724DA" w:rsidRDefault="00B724DA">
      <w:pPr>
        <w:numPr>
          <w:ilvl w:val="0"/>
          <w:numId w:val="10"/>
        </w:numPr>
        <w:rPr>
          <w:rFonts w:ascii="Arial" w:hAnsi="Arial" w:cs="Arial"/>
        </w:rPr>
      </w:pPr>
      <w:r>
        <w:rPr>
          <w:rFonts w:ascii="Arial" w:hAnsi="Arial" w:cs="Arial"/>
        </w:rPr>
        <w:t>Providing "due diligence" research on investment managers.</w:t>
      </w:r>
    </w:p>
    <w:p w:rsidR="00B724DA" w:rsidRDefault="00B724DA">
      <w:pPr>
        <w:numPr>
          <w:ilvl w:val="0"/>
          <w:numId w:val="10"/>
        </w:numPr>
        <w:rPr>
          <w:rFonts w:ascii="Arial" w:hAnsi="Arial" w:cs="Arial"/>
        </w:rPr>
      </w:pPr>
      <w:r>
        <w:rPr>
          <w:rFonts w:ascii="Arial" w:hAnsi="Arial" w:cs="Arial"/>
        </w:rPr>
        <w:t>Recommending investment managers.</w:t>
      </w:r>
    </w:p>
    <w:p w:rsidR="00B724DA" w:rsidRDefault="00B724DA">
      <w:pPr>
        <w:numPr>
          <w:ilvl w:val="0"/>
          <w:numId w:val="10"/>
        </w:numPr>
        <w:rPr>
          <w:rFonts w:ascii="Arial" w:hAnsi="Arial" w:cs="Arial"/>
        </w:rPr>
      </w:pPr>
      <w:r>
        <w:rPr>
          <w:rFonts w:ascii="Arial" w:hAnsi="Arial" w:cs="Arial"/>
        </w:rPr>
        <w:t>Evaluating investment managers in maintaining compliance with each funds policies, objectives and risk parameters.</w:t>
      </w:r>
    </w:p>
    <w:p w:rsidR="00B724DA" w:rsidRDefault="00B724DA">
      <w:pPr>
        <w:numPr>
          <w:ilvl w:val="0"/>
          <w:numId w:val="10"/>
        </w:numPr>
        <w:rPr>
          <w:rFonts w:ascii="Arial" w:hAnsi="Arial" w:cs="Arial"/>
        </w:rPr>
      </w:pPr>
      <w:r>
        <w:rPr>
          <w:rFonts w:ascii="Arial" w:hAnsi="Arial" w:cs="Arial"/>
        </w:rPr>
        <w:t>Providing recommendations for the termination of investment managers that are not meeting objectives.</w:t>
      </w:r>
    </w:p>
    <w:p w:rsidR="00B724DA" w:rsidRDefault="00B724DA">
      <w:pPr>
        <w:numPr>
          <w:ilvl w:val="0"/>
          <w:numId w:val="10"/>
        </w:numPr>
        <w:rPr>
          <w:rFonts w:ascii="Arial" w:hAnsi="Arial" w:cs="Arial"/>
        </w:rPr>
      </w:pPr>
      <w:r>
        <w:rPr>
          <w:rFonts w:ascii="Arial" w:hAnsi="Arial" w:cs="Arial"/>
        </w:rPr>
        <w:t>Providing recommendations for tactical adjustments of the diversification strategy for purposes of risk management and/or return opportunity.</w:t>
      </w:r>
    </w:p>
    <w:p w:rsidR="00B724DA" w:rsidRDefault="00B724DA">
      <w:pPr>
        <w:numPr>
          <w:ilvl w:val="0"/>
          <w:numId w:val="10"/>
        </w:numPr>
        <w:rPr>
          <w:rFonts w:ascii="Arial" w:hAnsi="Arial" w:cs="Arial"/>
        </w:rPr>
      </w:pPr>
      <w:r>
        <w:rPr>
          <w:rFonts w:ascii="Arial" w:hAnsi="Arial" w:cs="Arial"/>
        </w:rPr>
        <w:t xml:space="preserve">Monitoring the total performance </w:t>
      </w:r>
      <w:r w:rsidR="00AC0561">
        <w:rPr>
          <w:rFonts w:ascii="Arial" w:hAnsi="Arial" w:cs="Arial"/>
        </w:rPr>
        <w:t xml:space="preserve">and risk </w:t>
      </w:r>
      <w:r>
        <w:rPr>
          <w:rFonts w:ascii="Arial" w:hAnsi="Arial" w:cs="Arial"/>
        </w:rPr>
        <w:t xml:space="preserve">of each investment </w:t>
      </w:r>
      <w:proofErr w:type="gramStart"/>
      <w:r>
        <w:rPr>
          <w:rFonts w:ascii="Arial" w:hAnsi="Arial" w:cs="Arial"/>
        </w:rPr>
        <w:t>fund  as</w:t>
      </w:r>
      <w:proofErr w:type="gramEnd"/>
      <w:r>
        <w:rPr>
          <w:rFonts w:ascii="Arial" w:hAnsi="Arial" w:cs="Arial"/>
        </w:rPr>
        <w:t xml:space="preserve"> well as the individual Investment Managers) within each fund.</w:t>
      </w:r>
    </w:p>
    <w:p w:rsidR="00B724DA" w:rsidRDefault="00B724DA">
      <w:pPr>
        <w:numPr>
          <w:ilvl w:val="0"/>
          <w:numId w:val="10"/>
        </w:numPr>
        <w:rPr>
          <w:rFonts w:ascii="Arial" w:hAnsi="Arial" w:cs="Arial"/>
        </w:rPr>
      </w:pPr>
      <w:r>
        <w:rPr>
          <w:rFonts w:ascii="Arial" w:hAnsi="Arial" w:cs="Arial"/>
        </w:rPr>
        <w:lastRenderedPageBreak/>
        <w:t xml:space="preserve">Assisting the Investment Advisory Committee in the determination, understanding, negotiation and the accountability of each investment </w:t>
      </w:r>
      <w:proofErr w:type="gramStart"/>
      <w:r>
        <w:rPr>
          <w:rFonts w:ascii="Arial" w:hAnsi="Arial" w:cs="Arial"/>
        </w:rPr>
        <w:t>funds</w:t>
      </w:r>
      <w:r w:rsidR="00572758">
        <w:rPr>
          <w:rFonts w:ascii="Arial" w:hAnsi="Arial" w:cs="Arial"/>
        </w:rPr>
        <w:t xml:space="preserve">‘ </w:t>
      </w:r>
      <w:r>
        <w:rPr>
          <w:rFonts w:ascii="Arial" w:hAnsi="Arial" w:cs="Arial"/>
        </w:rPr>
        <w:t>investment</w:t>
      </w:r>
      <w:proofErr w:type="gramEnd"/>
      <w:r>
        <w:rPr>
          <w:rFonts w:ascii="Arial" w:hAnsi="Arial" w:cs="Arial"/>
        </w:rPr>
        <w:t xml:space="preserve"> costs.</w:t>
      </w:r>
    </w:p>
    <w:p w:rsidR="00B724DA" w:rsidRDefault="00B724DA">
      <w:pPr>
        <w:numPr>
          <w:ilvl w:val="0"/>
          <w:numId w:val="10"/>
        </w:numPr>
        <w:rPr>
          <w:rFonts w:ascii="Arial" w:hAnsi="Arial" w:cs="Arial"/>
        </w:rPr>
      </w:pPr>
      <w:r>
        <w:rPr>
          <w:rFonts w:ascii="Arial" w:hAnsi="Arial" w:cs="Arial"/>
        </w:rPr>
        <w:t>Reviewing each Fund’s investment history and policies with any new members of the Board of Directors and Investment Advisory Committee.</w:t>
      </w:r>
    </w:p>
    <w:p w:rsidR="00B724DA" w:rsidRDefault="00B724DA">
      <w:pPr>
        <w:numPr>
          <w:ilvl w:val="0"/>
          <w:numId w:val="10"/>
        </w:numPr>
        <w:rPr>
          <w:rFonts w:ascii="Arial" w:hAnsi="Arial" w:cs="Arial"/>
        </w:rPr>
      </w:pPr>
      <w:r>
        <w:rPr>
          <w:rFonts w:ascii="Arial" w:hAnsi="Arial" w:cs="Arial"/>
        </w:rPr>
        <w:t>Assisting in the development and periodic review of investment policy.</w:t>
      </w:r>
    </w:p>
    <w:p w:rsidR="00B724DA" w:rsidRDefault="00B724DA">
      <w:pPr>
        <w:pStyle w:val="StyleHeading1Black"/>
        <w:rPr>
          <w:rFonts w:ascii="Arial" w:hAnsi="Arial" w:cs="Arial"/>
        </w:rPr>
      </w:pPr>
      <w:bookmarkStart w:id="11" w:name="_Toc285123359"/>
    </w:p>
    <w:p w:rsidR="00C4578A" w:rsidRDefault="00C4578A">
      <w:pPr>
        <w:pStyle w:val="StyleHeading1Black"/>
        <w:rPr>
          <w:rFonts w:ascii="Arial" w:hAnsi="Arial" w:cs="Arial"/>
        </w:rPr>
      </w:pPr>
    </w:p>
    <w:p w:rsidR="00B724DA" w:rsidRDefault="00B724DA">
      <w:pPr>
        <w:pStyle w:val="StyleHeading1Black"/>
        <w:rPr>
          <w:rFonts w:ascii="Arial" w:hAnsi="Arial" w:cs="Arial"/>
        </w:rPr>
      </w:pPr>
      <w:r>
        <w:rPr>
          <w:rFonts w:ascii="Arial" w:hAnsi="Arial" w:cs="Arial"/>
        </w:rPr>
        <w:t>RISK</w:t>
      </w:r>
      <w:bookmarkEnd w:id="11"/>
    </w:p>
    <w:p w:rsidR="00B724DA" w:rsidRDefault="00B724DA">
      <w:pPr>
        <w:rPr>
          <w:rFonts w:ascii="Arial" w:hAnsi="Arial" w:cs="Arial"/>
        </w:rPr>
      </w:pPr>
      <w:r>
        <w:rPr>
          <w:rFonts w:ascii="Arial" w:hAnsi="Arial" w:cs="Arial"/>
        </w:rPr>
        <w:t xml:space="preserve">Many types of risk exist that may impact the Fund’s investments, including but not limited to: volatility, inflation, liquidity, economic conditions and investment managers underperforming relative benchmarks.  </w:t>
      </w:r>
      <w:r w:rsidR="00572758">
        <w:rPr>
          <w:rFonts w:ascii="Arial" w:hAnsi="Arial" w:cs="Arial"/>
        </w:rPr>
        <w:t>The Investment Management Consultant will monitor the portfolio construction of the aggregate portfolio and advise the committee on any excessive concentrations in the portfolio that may cause unintended risk. The consultant will also provide recommendations for a solution to reduce the risks identified.</w:t>
      </w:r>
    </w:p>
    <w:p w:rsidR="00B724DA" w:rsidRDefault="00B724DA">
      <w:pPr>
        <w:rPr>
          <w:rFonts w:ascii="Arial" w:hAnsi="Arial" w:cs="Arial"/>
        </w:rPr>
      </w:pPr>
    </w:p>
    <w:p w:rsidR="00B724DA" w:rsidRDefault="00B724DA">
      <w:pPr>
        <w:rPr>
          <w:rFonts w:ascii="Arial" w:hAnsi="Arial" w:cs="Arial"/>
        </w:rPr>
      </w:pPr>
      <w:r>
        <w:rPr>
          <w:rFonts w:ascii="Arial" w:hAnsi="Arial" w:cs="Arial"/>
        </w:rPr>
        <w:t>The most relevant and comprehensive definition of risk is failing to achieve the Foundation’s policy objectives.  Anything that increases the likelihood of failing to achieve these objectives can be defined as risky.  Therefore, all actions, strategies, and asset classes should be considered or reviewed in the context of whether they will likely enhance or erode the chances of achieving policy objectives, which may vary by investment fund.   Those that increase the probability of attaining goals should not be considered risky.</w:t>
      </w:r>
    </w:p>
    <w:p w:rsidR="00B724DA" w:rsidRDefault="00B724DA">
      <w:pPr>
        <w:rPr>
          <w:rFonts w:ascii="Arial" w:hAnsi="Arial" w:cs="Arial"/>
        </w:rPr>
      </w:pPr>
    </w:p>
    <w:p w:rsidR="00B724DA" w:rsidRDefault="00B724DA">
      <w:pPr>
        <w:rPr>
          <w:rFonts w:ascii="Arial" w:hAnsi="Arial" w:cs="Arial"/>
          <w:b/>
          <w:bCs/>
        </w:rPr>
      </w:pPr>
      <w:r>
        <w:rPr>
          <w:rFonts w:ascii="Arial" w:hAnsi="Arial" w:cs="Arial"/>
          <w:bCs/>
        </w:rPr>
        <w:t xml:space="preserve">The target risk volatility band is ± 20% of the risk associated with the risk benchmarks of the various pools.  </w:t>
      </w:r>
      <w:r w:rsidR="006D00BC">
        <w:rPr>
          <w:rFonts w:ascii="Arial" w:hAnsi="Arial" w:cs="Arial"/>
          <w:bCs/>
        </w:rPr>
        <w:t>The “</w:t>
      </w:r>
      <w:r>
        <w:rPr>
          <w:rFonts w:ascii="Arial" w:hAnsi="Arial" w:cs="Arial"/>
          <w:bCs/>
        </w:rPr>
        <w:t xml:space="preserve">Total </w:t>
      </w:r>
      <w:r w:rsidR="006D00BC">
        <w:rPr>
          <w:rFonts w:ascii="Arial" w:hAnsi="Arial" w:cs="Arial"/>
          <w:bCs/>
        </w:rPr>
        <w:t>R</w:t>
      </w:r>
      <w:r>
        <w:rPr>
          <w:rFonts w:ascii="Arial" w:hAnsi="Arial" w:cs="Arial"/>
          <w:bCs/>
        </w:rPr>
        <w:t>isk</w:t>
      </w:r>
      <w:r w:rsidR="006D00BC">
        <w:rPr>
          <w:rFonts w:ascii="Arial" w:hAnsi="Arial" w:cs="Arial"/>
          <w:bCs/>
        </w:rPr>
        <w:t>”</w:t>
      </w:r>
      <w:r>
        <w:rPr>
          <w:rFonts w:ascii="Arial" w:hAnsi="Arial" w:cs="Arial"/>
          <w:bCs/>
        </w:rPr>
        <w:t xml:space="preserve"> </w:t>
      </w:r>
      <w:r w:rsidR="006D00BC">
        <w:rPr>
          <w:rFonts w:ascii="Arial" w:hAnsi="Arial" w:cs="Arial"/>
          <w:bCs/>
        </w:rPr>
        <w:t xml:space="preserve">of each fund </w:t>
      </w:r>
      <w:r>
        <w:rPr>
          <w:rFonts w:ascii="Arial" w:hAnsi="Arial" w:cs="Arial"/>
          <w:bCs/>
        </w:rPr>
        <w:t>will be measured by the volatility (standard deviation) of expected and/or actual investment returns.</w:t>
      </w:r>
    </w:p>
    <w:p w:rsidR="00B724DA" w:rsidRDefault="00B724DA">
      <w:pPr>
        <w:rPr>
          <w:rFonts w:ascii="Arial" w:hAnsi="Arial" w:cs="Arial"/>
          <w:b/>
          <w:bCs/>
        </w:rPr>
      </w:pPr>
    </w:p>
    <w:p w:rsidR="00B724DA" w:rsidRDefault="00B724DA">
      <w:pPr>
        <w:rPr>
          <w:rFonts w:ascii="Arial" w:hAnsi="Arial" w:cs="Arial"/>
          <w:b/>
          <w:bCs/>
        </w:rPr>
      </w:pPr>
      <w:bookmarkStart w:id="12" w:name="_Toc33350365"/>
      <w:bookmarkStart w:id="13" w:name="_Toc33350860"/>
      <w:bookmarkStart w:id="14" w:name="_Toc285123360"/>
    </w:p>
    <w:p w:rsidR="00B724DA" w:rsidRDefault="00B724DA">
      <w:pPr>
        <w:pStyle w:val="StyleHeading1Black"/>
        <w:rPr>
          <w:rFonts w:ascii="Arial" w:hAnsi="Arial" w:cs="Arial"/>
        </w:rPr>
      </w:pPr>
      <w:r>
        <w:rPr>
          <w:rFonts w:ascii="Arial" w:hAnsi="Arial" w:cs="Arial"/>
        </w:rPr>
        <w:t>MARKETABILITY / LIQUIDITY OF ASSETS</w:t>
      </w:r>
      <w:bookmarkEnd w:id="12"/>
      <w:bookmarkEnd w:id="13"/>
      <w:bookmarkEnd w:id="14"/>
    </w:p>
    <w:p w:rsidR="00B724DA" w:rsidRDefault="00B724DA">
      <w:pPr>
        <w:widowControl w:val="0"/>
        <w:rPr>
          <w:rFonts w:ascii="Arial" w:hAnsi="Arial" w:cs="Arial"/>
        </w:rPr>
      </w:pPr>
      <w:r>
        <w:rPr>
          <w:rFonts w:ascii="Arial" w:hAnsi="Arial" w:cs="Arial"/>
        </w:rPr>
        <w:t xml:space="preserve">The Investment Advisory Committee requires that </w:t>
      </w:r>
      <w:r>
        <w:rPr>
          <w:rFonts w:ascii="Arial" w:hAnsi="Arial" w:cs="Arial"/>
          <w:b/>
        </w:rPr>
        <w:t>100%</w:t>
      </w:r>
      <w:r>
        <w:rPr>
          <w:rFonts w:ascii="Arial" w:hAnsi="Arial" w:cs="Arial"/>
        </w:rPr>
        <w:t xml:space="preserve"> of each Fund’s assets be invested in liquid securities, defined as securities that can be transacted quickly and efficiently for the Funds, with minimal impact on market price. </w:t>
      </w:r>
    </w:p>
    <w:p w:rsidR="00B724DA" w:rsidRDefault="00B724DA">
      <w:pPr>
        <w:jc w:val="both"/>
        <w:rPr>
          <w:rFonts w:ascii="Arial" w:hAnsi="Arial" w:cs="Arial"/>
        </w:rPr>
      </w:pPr>
      <w:bookmarkStart w:id="15" w:name="_Toc33350370"/>
      <w:bookmarkStart w:id="16" w:name="_Toc33350863"/>
    </w:p>
    <w:p w:rsidR="00C4578A" w:rsidRDefault="00C4578A">
      <w:pPr>
        <w:jc w:val="both"/>
        <w:rPr>
          <w:rFonts w:ascii="Arial" w:hAnsi="Arial" w:cs="Arial"/>
        </w:rPr>
      </w:pPr>
    </w:p>
    <w:p w:rsidR="00B724DA" w:rsidRDefault="00B724DA">
      <w:pPr>
        <w:pStyle w:val="StyleHeading1Black"/>
        <w:rPr>
          <w:rFonts w:ascii="Arial" w:hAnsi="Arial" w:cs="Arial"/>
        </w:rPr>
      </w:pPr>
      <w:bookmarkStart w:id="17" w:name="_Toc285123361"/>
      <w:r>
        <w:rPr>
          <w:rFonts w:ascii="Arial" w:hAnsi="Arial" w:cs="Arial"/>
        </w:rPr>
        <w:t>SELECTION OF INVESTMENT MANAGERS</w:t>
      </w:r>
      <w:bookmarkEnd w:id="15"/>
      <w:bookmarkEnd w:id="16"/>
      <w:bookmarkEnd w:id="17"/>
    </w:p>
    <w:p w:rsidR="00B724DA" w:rsidRDefault="00B724DA">
      <w:pPr>
        <w:rPr>
          <w:rFonts w:ascii="Arial" w:eastAsia="PMingLiU" w:hAnsi="Arial" w:cs="Arial"/>
        </w:rPr>
      </w:pPr>
      <w:r>
        <w:rPr>
          <w:rFonts w:ascii="Arial" w:eastAsia="PMingLiU" w:hAnsi="Arial" w:cs="Arial"/>
        </w:rPr>
        <w:t xml:space="preserve">Investment Manager </w:t>
      </w:r>
      <w:proofErr w:type="gramStart"/>
      <w:r>
        <w:rPr>
          <w:rFonts w:ascii="Arial" w:eastAsia="PMingLiU" w:hAnsi="Arial" w:cs="Arial"/>
        </w:rPr>
        <w:t>selection</w:t>
      </w:r>
      <w:proofErr w:type="gramEnd"/>
      <w:r>
        <w:rPr>
          <w:rFonts w:ascii="Arial" w:eastAsia="PMingLiU" w:hAnsi="Arial" w:cs="Arial"/>
        </w:rPr>
        <w:t xml:space="preserve"> must be based on prudent due-diligence procedures managed by the Investment Management Consultant</w:t>
      </w:r>
      <w:r w:rsidRPr="00C525A2">
        <w:rPr>
          <w:rFonts w:ascii="Arial" w:hAnsi="Arial" w:cs="Arial"/>
        </w:rPr>
        <w:t xml:space="preserve">.  </w:t>
      </w:r>
      <w:r w:rsidR="00C525A2" w:rsidRPr="00C525A2">
        <w:rPr>
          <w:rFonts w:ascii="Arial" w:hAnsi="Arial" w:cs="Arial"/>
        </w:rPr>
        <w:t xml:space="preserve">A qualifying investment manager must be a registered investment advisor under the </w:t>
      </w:r>
      <w:r w:rsidR="00C525A2">
        <w:rPr>
          <w:rFonts w:ascii="Arial" w:hAnsi="Arial" w:cs="Arial"/>
        </w:rPr>
        <w:t xml:space="preserve">Investment Advisors Act of 1940.  </w:t>
      </w:r>
      <w:r>
        <w:rPr>
          <w:rFonts w:ascii="Arial" w:eastAsia="PMingLiU" w:hAnsi="Arial" w:cs="Arial"/>
        </w:rPr>
        <w:t xml:space="preserve">The Investment Manager </w:t>
      </w:r>
      <w:proofErr w:type="gramStart"/>
      <w:r>
        <w:rPr>
          <w:rFonts w:ascii="Arial" w:eastAsia="PMingLiU" w:hAnsi="Arial" w:cs="Arial"/>
        </w:rPr>
        <w:t>selection</w:t>
      </w:r>
      <w:proofErr w:type="gramEnd"/>
      <w:r>
        <w:rPr>
          <w:rFonts w:ascii="Arial" w:eastAsia="PMingLiU" w:hAnsi="Arial" w:cs="Arial"/>
        </w:rPr>
        <w:t xml:space="preserve"> process utilizes both quantitative and qualitative factors.  Decisions to </w:t>
      </w:r>
      <w:proofErr w:type="gramStart"/>
      <w:r>
        <w:rPr>
          <w:rFonts w:ascii="Arial" w:eastAsia="PMingLiU" w:hAnsi="Arial" w:cs="Arial"/>
        </w:rPr>
        <w:t>employ,</w:t>
      </w:r>
      <w:proofErr w:type="gramEnd"/>
      <w:r>
        <w:rPr>
          <w:rFonts w:ascii="Arial" w:eastAsia="PMingLiU" w:hAnsi="Arial" w:cs="Arial"/>
        </w:rPr>
        <w:t xml:space="preserve"> retain and/or terminate investment managers will be the responsibility of the Investment Advisory Committee upon recommendations from the Investment Management Consultant.</w:t>
      </w:r>
    </w:p>
    <w:p w:rsidR="00B724DA" w:rsidRDefault="00B724DA">
      <w:pPr>
        <w:widowControl w:val="0"/>
        <w:jc w:val="both"/>
        <w:rPr>
          <w:rFonts w:ascii="Arial" w:eastAsia="PMingLiU" w:hAnsi="Arial" w:cs="Arial"/>
          <w:szCs w:val="20"/>
        </w:rPr>
      </w:pPr>
    </w:p>
    <w:p w:rsidR="00B724DA" w:rsidRDefault="00B724DA">
      <w:pPr>
        <w:pStyle w:val="StyleHeading1Black"/>
        <w:spacing w:before="120" w:after="120"/>
        <w:rPr>
          <w:rFonts w:ascii="Arial" w:hAnsi="Arial" w:cs="Arial"/>
        </w:rPr>
      </w:pPr>
      <w:bookmarkStart w:id="18" w:name="_Toc33350371"/>
      <w:bookmarkStart w:id="19" w:name="_Toc33350864"/>
      <w:bookmarkStart w:id="20" w:name="_Toc285123362"/>
      <w:r>
        <w:rPr>
          <w:rFonts w:ascii="Arial" w:hAnsi="Arial" w:cs="Arial"/>
        </w:rPr>
        <w:lastRenderedPageBreak/>
        <w:t>INVESTMENT PERFORMANCE REVIEW AND EVALUATION</w:t>
      </w:r>
      <w:bookmarkEnd w:id="18"/>
      <w:bookmarkEnd w:id="19"/>
      <w:bookmarkEnd w:id="20"/>
    </w:p>
    <w:p w:rsidR="00B724DA" w:rsidRDefault="00B724DA">
      <w:pPr>
        <w:pStyle w:val="Heading2"/>
        <w:rPr>
          <w:i w:val="0"/>
          <w:iCs w:val="0"/>
          <w:sz w:val="24"/>
        </w:rPr>
      </w:pPr>
      <w:bookmarkStart w:id="21" w:name="_Toc285123363"/>
      <w:r>
        <w:rPr>
          <w:i w:val="0"/>
          <w:iCs w:val="0"/>
          <w:sz w:val="24"/>
        </w:rPr>
        <w:t>Performance Guidelines for the Investment Funds</w:t>
      </w:r>
      <w:bookmarkEnd w:id="21"/>
    </w:p>
    <w:p w:rsidR="00B724DA" w:rsidRDefault="00B724DA">
      <w:pPr>
        <w:rPr>
          <w:rFonts w:ascii="Arial" w:hAnsi="Arial" w:cs="Arial"/>
        </w:rPr>
      </w:pPr>
      <w:r>
        <w:rPr>
          <w:rFonts w:ascii="Arial" w:hAnsi="Arial" w:cs="Arial"/>
        </w:rPr>
        <w:t>Performance reports generated by the Investment Management Consultant shall be compiled quarterly and communicated to the Investment Advisory Committee for review.  The performance objective of each investment pool will be outlined in the Appendix section for each of the investment funds.</w:t>
      </w:r>
    </w:p>
    <w:p w:rsidR="00B724DA" w:rsidRDefault="00B724DA">
      <w:pPr>
        <w:pStyle w:val="Heading2"/>
        <w:rPr>
          <w:i w:val="0"/>
          <w:iCs w:val="0"/>
          <w:sz w:val="24"/>
        </w:rPr>
      </w:pPr>
      <w:bookmarkStart w:id="22" w:name="_Toc285123364"/>
      <w:r>
        <w:rPr>
          <w:i w:val="0"/>
          <w:iCs w:val="0"/>
          <w:sz w:val="24"/>
        </w:rPr>
        <w:t>Performance Guidelines for Investment Managers</w:t>
      </w:r>
      <w:bookmarkEnd w:id="22"/>
    </w:p>
    <w:p w:rsidR="00B724DA" w:rsidRDefault="00B724DA">
      <w:pPr>
        <w:rPr>
          <w:rFonts w:ascii="Arial" w:hAnsi="Arial" w:cs="Arial"/>
        </w:rPr>
      </w:pPr>
      <w:r>
        <w:rPr>
          <w:rFonts w:ascii="Arial" w:hAnsi="Arial" w:cs="Arial"/>
        </w:rPr>
        <w:t>The goal of each investment manager shall be, but not limited to:</w:t>
      </w:r>
    </w:p>
    <w:p w:rsidR="00B724DA" w:rsidRDefault="00B724DA" w:rsidP="004B33C8">
      <w:pPr>
        <w:keepNext/>
        <w:keepLines/>
        <w:numPr>
          <w:ilvl w:val="0"/>
          <w:numId w:val="42"/>
        </w:numPr>
        <w:spacing w:before="120" w:after="120"/>
        <w:jc w:val="both"/>
        <w:rPr>
          <w:rFonts w:ascii="Arial" w:hAnsi="Arial" w:cs="Arial"/>
        </w:rPr>
      </w:pPr>
      <w:r>
        <w:rPr>
          <w:rFonts w:ascii="Arial" w:hAnsi="Arial" w:cs="Arial"/>
        </w:rPr>
        <w:t>Meet or exceed the market index</w:t>
      </w:r>
      <w:r w:rsidR="00572758">
        <w:rPr>
          <w:rFonts w:ascii="Arial" w:hAnsi="Arial" w:cs="Arial"/>
        </w:rPr>
        <w:t xml:space="preserve"> or</w:t>
      </w:r>
      <w:r>
        <w:rPr>
          <w:rFonts w:ascii="Arial" w:hAnsi="Arial" w:cs="Arial"/>
        </w:rPr>
        <w:t xml:space="preserve"> blended market index, selected by the Investment Management Consultant that most closely corresponds to the style of investment management on a risk-adjusted basis over a reasonable period of time.</w:t>
      </w:r>
    </w:p>
    <w:p w:rsidR="00B724DA" w:rsidRDefault="00B724DA" w:rsidP="004B33C8">
      <w:pPr>
        <w:keepNext/>
        <w:keepLines/>
        <w:numPr>
          <w:ilvl w:val="0"/>
          <w:numId w:val="42"/>
        </w:numPr>
        <w:spacing w:before="120" w:after="120"/>
        <w:jc w:val="both"/>
        <w:rPr>
          <w:rFonts w:ascii="Arial" w:hAnsi="Arial" w:cs="Arial"/>
        </w:rPr>
      </w:pPr>
      <w:r>
        <w:rPr>
          <w:rFonts w:ascii="Arial" w:hAnsi="Arial" w:cs="Arial"/>
        </w:rPr>
        <w:t xml:space="preserve">Display an overall level of risk in the portfolio which is consistent with the risk associated with the benchmark specified.  </w:t>
      </w:r>
      <w:r w:rsidR="006D00BC">
        <w:rPr>
          <w:rFonts w:ascii="Arial" w:hAnsi="Arial" w:cs="Arial"/>
        </w:rPr>
        <w:t>For individual investment managers, r</w:t>
      </w:r>
      <w:r>
        <w:rPr>
          <w:rFonts w:ascii="Arial" w:hAnsi="Arial" w:cs="Arial"/>
        </w:rPr>
        <w:t xml:space="preserve">isk will </w:t>
      </w:r>
      <w:r w:rsidR="006D00BC">
        <w:rPr>
          <w:rFonts w:ascii="Arial" w:hAnsi="Arial" w:cs="Arial"/>
        </w:rPr>
        <w:t xml:space="preserve">also </w:t>
      </w:r>
      <w:r>
        <w:rPr>
          <w:rFonts w:ascii="Arial" w:hAnsi="Arial" w:cs="Arial"/>
        </w:rPr>
        <w:t>be measured by</w:t>
      </w:r>
      <w:r w:rsidR="006D00BC">
        <w:rPr>
          <w:rFonts w:ascii="Arial" w:hAnsi="Arial" w:cs="Arial"/>
        </w:rPr>
        <w:t xml:space="preserve"> standard deviation</w:t>
      </w:r>
      <w:r>
        <w:rPr>
          <w:rFonts w:ascii="Arial" w:hAnsi="Arial" w:cs="Arial"/>
        </w:rPr>
        <w:t xml:space="preserve">, but </w:t>
      </w:r>
      <w:r w:rsidR="006D00BC">
        <w:rPr>
          <w:rFonts w:ascii="Arial" w:hAnsi="Arial" w:cs="Arial"/>
        </w:rPr>
        <w:t xml:space="preserve">additional measures such as </w:t>
      </w:r>
      <w:r>
        <w:rPr>
          <w:rFonts w:ascii="Arial" w:hAnsi="Arial" w:cs="Arial"/>
        </w:rPr>
        <w:t>beta, alpha</w:t>
      </w:r>
      <w:r w:rsidR="006D00BC">
        <w:rPr>
          <w:rFonts w:ascii="Arial" w:hAnsi="Arial" w:cs="Arial"/>
        </w:rPr>
        <w:t xml:space="preserve">, capture ratios </w:t>
      </w:r>
      <w:r>
        <w:rPr>
          <w:rFonts w:ascii="Arial" w:hAnsi="Arial" w:cs="Arial"/>
        </w:rPr>
        <w:t xml:space="preserve">and </w:t>
      </w:r>
      <w:r w:rsidR="006D00BC">
        <w:rPr>
          <w:rFonts w:ascii="Arial" w:hAnsi="Arial" w:cs="Arial"/>
        </w:rPr>
        <w:t xml:space="preserve">other statistical measures of </w:t>
      </w:r>
      <w:r w:rsidR="001B1AD1">
        <w:rPr>
          <w:rFonts w:ascii="Arial" w:hAnsi="Arial" w:cs="Arial"/>
        </w:rPr>
        <w:t xml:space="preserve">portfolio risk management </w:t>
      </w:r>
      <w:r w:rsidR="006D00BC">
        <w:rPr>
          <w:rFonts w:ascii="Arial" w:hAnsi="Arial" w:cs="Arial"/>
        </w:rPr>
        <w:t>will be considered.</w:t>
      </w:r>
    </w:p>
    <w:p w:rsidR="002C68EA" w:rsidRDefault="00B724DA">
      <w:pPr>
        <w:rPr>
          <w:rFonts w:ascii="Arial" w:hAnsi="Arial" w:cs="Arial"/>
        </w:rPr>
      </w:pPr>
      <w:r>
        <w:rPr>
          <w:rFonts w:ascii="Arial" w:hAnsi="Arial" w:cs="Arial"/>
        </w:rPr>
        <w:t>Investment managers shall be reviewed regularly by the Investment Management Consultant regarding performance, personnel, strategy, research capabilities, organizational and business matters, and other qualitative factors that may impact their ability to achieve desired investment results.</w:t>
      </w:r>
    </w:p>
    <w:p w:rsidR="00B724DA" w:rsidRDefault="00B724DA">
      <w:pPr>
        <w:rPr>
          <w:rFonts w:ascii="Arial" w:hAnsi="Arial" w:cs="Arial"/>
        </w:rPr>
      </w:pPr>
    </w:p>
    <w:p w:rsidR="00260637" w:rsidRDefault="00260637">
      <w:pPr>
        <w:rPr>
          <w:rFonts w:ascii="Arial" w:hAnsi="Arial" w:cs="Arial"/>
        </w:rPr>
      </w:pPr>
    </w:p>
    <w:p w:rsidR="00B724DA" w:rsidRDefault="00B724DA">
      <w:pPr>
        <w:pStyle w:val="StyleHeading1Black"/>
        <w:rPr>
          <w:rFonts w:ascii="Arial" w:hAnsi="Arial" w:cs="Arial"/>
        </w:rPr>
      </w:pPr>
      <w:bookmarkStart w:id="23" w:name="_Toc285123365"/>
      <w:r>
        <w:rPr>
          <w:rFonts w:ascii="Arial" w:hAnsi="Arial" w:cs="Arial"/>
        </w:rPr>
        <w:t>INVESTMENT STRUCTURE</w:t>
      </w:r>
      <w:bookmarkEnd w:id="23"/>
      <w:r>
        <w:rPr>
          <w:rFonts w:ascii="Arial" w:hAnsi="Arial" w:cs="Arial"/>
        </w:rPr>
        <w:t xml:space="preserve"> </w:t>
      </w:r>
    </w:p>
    <w:p w:rsidR="00B724DA" w:rsidRDefault="00B724DA">
      <w:pPr>
        <w:rPr>
          <w:rFonts w:ascii="Arial" w:hAnsi="Arial" w:cs="Arial"/>
        </w:rPr>
      </w:pPr>
      <w:r>
        <w:rPr>
          <w:rFonts w:ascii="Arial" w:hAnsi="Arial" w:cs="Arial"/>
        </w:rPr>
        <w:t>The Investment Advisory Committee may elect to invest any of the Funds</w:t>
      </w:r>
      <w:r w:rsidR="00572758">
        <w:rPr>
          <w:rFonts w:ascii="Arial" w:hAnsi="Arial" w:cs="Arial"/>
        </w:rPr>
        <w:t>’</w:t>
      </w:r>
      <w:r>
        <w:rPr>
          <w:rFonts w:ascii="Arial" w:hAnsi="Arial" w:cs="Arial"/>
        </w:rPr>
        <w:t xml:space="preserve"> assets in </w:t>
      </w:r>
      <w:r w:rsidR="001B1AD1">
        <w:rPr>
          <w:rFonts w:ascii="Arial" w:hAnsi="Arial" w:cs="Arial"/>
        </w:rPr>
        <w:t xml:space="preserve">liquid </w:t>
      </w:r>
      <w:r>
        <w:rPr>
          <w:rFonts w:ascii="Arial" w:hAnsi="Arial" w:cs="Arial"/>
        </w:rPr>
        <w:t xml:space="preserve">separate accounts, </w:t>
      </w:r>
      <w:r w:rsidR="001B1AD1">
        <w:rPr>
          <w:rFonts w:ascii="Arial" w:hAnsi="Arial" w:cs="Arial"/>
        </w:rPr>
        <w:t xml:space="preserve">liquid </w:t>
      </w:r>
      <w:r>
        <w:rPr>
          <w:rFonts w:ascii="Arial" w:hAnsi="Arial" w:cs="Arial"/>
        </w:rPr>
        <w:t xml:space="preserve">pooled funds, e.g. a commingled pool invested in by a group of investors, including </w:t>
      </w:r>
      <w:r w:rsidR="001B1AD1">
        <w:rPr>
          <w:rFonts w:ascii="Arial" w:hAnsi="Arial" w:cs="Arial"/>
        </w:rPr>
        <w:t xml:space="preserve">liquid </w:t>
      </w:r>
      <w:r>
        <w:rPr>
          <w:rFonts w:ascii="Arial" w:hAnsi="Arial" w:cs="Arial"/>
        </w:rPr>
        <w:t xml:space="preserve">mutual funds, </w:t>
      </w:r>
      <w:r w:rsidR="001B1AD1">
        <w:rPr>
          <w:rFonts w:ascii="Arial" w:hAnsi="Arial" w:cs="Arial"/>
        </w:rPr>
        <w:t xml:space="preserve">liquid </w:t>
      </w:r>
      <w:r>
        <w:rPr>
          <w:rFonts w:ascii="Arial" w:hAnsi="Arial" w:cs="Arial"/>
        </w:rPr>
        <w:t xml:space="preserve">limited partnerships and similar investment vehicles.  </w:t>
      </w:r>
    </w:p>
    <w:p w:rsidR="00B724DA" w:rsidRDefault="00B724DA">
      <w:pPr>
        <w:rPr>
          <w:rFonts w:ascii="Arial" w:eastAsia="PMingLiU" w:hAnsi="Arial" w:cs="Arial"/>
        </w:rPr>
      </w:pPr>
    </w:p>
    <w:p w:rsidR="00260637" w:rsidRDefault="00260637">
      <w:pPr>
        <w:rPr>
          <w:rFonts w:ascii="Arial" w:eastAsia="PMingLiU" w:hAnsi="Arial" w:cs="Arial"/>
        </w:rPr>
      </w:pPr>
    </w:p>
    <w:p w:rsidR="00B724DA" w:rsidRDefault="00B724DA">
      <w:pPr>
        <w:pStyle w:val="StyleHeading1Black"/>
        <w:rPr>
          <w:rFonts w:ascii="Arial" w:hAnsi="Arial" w:cs="Arial"/>
        </w:rPr>
      </w:pPr>
      <w:bookmarkStart w:id="24" w:name="OLE_LINK1"/>
      <w:bookmarkStart w:id="25" w:name="OLE_LINK2"/>
      <w:r>
        <w:rPr>
          <w:rFonts w:ascii="Arial" w:hAnsi="Arial" w:cs="Arial"/>
        </w:rPr>
        <w:t xml:space="preserve">REBALANCE POLICY  </w:t>
      </w:r>
    </w:p>
    <w:p w:rsidR="00B724DA" w:rsidRDefault="00B724DA">
      <w:pPr>
        <w:spacing w:before="120" w:after="120"/>
        <w:jc w:val="both"/>
        <w:rPr>
          <w:rFonts w:ascii="Arial" w:eastAsia="PMingLiU" w:hAnsi="Arial" w:cs="Arial"/>
        </w:rPr>
      </w:pPr>
      <w:r>
        <w:rPr>
          <w:rFonts w:ascii="Arial" w:eastAsia="PMingLiU" w:hAnsi="Arial" w:cs="Arial"/>
        </w:rPr>
        <w:t xml:space="preserve">The purpose of rebalancing is to control portfolio risk and maintain the policy asset allocations within the desired ranges.  The investment portfolio of each of the investment funds will be rebalanced, </w:t>
      </w:r>
      <w:r w:rsidR="00AC0561">
        <w:rPr>
          <w:rFonts w:ascii="Arial" w:eastAsia="PMingLiU" w:hAnsi="Arial" w:cs="Arial"/>
        </w:rPr>
        <w:t xml:space="preserve">in accordance with its respective asset allocation </w:t>
      </w:r>
      <w:r>
        <w:rPr>
          <w:rFonts w:ascii="Arial" w:eastAsia="PMingLiU" w:hAnsi="Arial" w:cs="Arial"/>
        </w:rPr>
        <w:t>guidelines, when any asset class is outside the maximum policy allocation or when capital markets conditions dictate.</w:t>
      </w:r>
      <w:bookmarkEnd w:id="24"/>
      <w:bookmarkEnd w:id="25"/>
      <w:r>
        <w:rPr>
          <w:rFonts w:ascii="Arial" w:eastAsia="PMingLiU" w:hAnsi="Arial" w:cs="Arial"/>
        </w:rPr>
        <w:t xml:space="preserve">  The strategic long-term asset allocation and maximum allocation risk limits for each investment fund will be identified in the specific section for that fund.  </w:t>
      </w:r>
    </w:p>
    <w:p w:rsidR="00B724DA" w:rsidRDefault="00B724DA">
      <w:pPr>
        <w:rPr>
          <w:rFonts w:ascii="Arial" w:eastAsia="PMingLiU" w:hAnsi="Arial" w:cs="Arial"/>
        </w:rPr>
      </w:pPr>
    </w:p>
    <w:p w:rsidR="00B724DA" w:rsidRDefault="00C4578A">
      <w:pPr>
        <w:pStyle w:val="StyleHeading1Black"/>
        <w:rPr>
          <w:rFonts w:ascii="Arial" w:hAnsi="Arial" w:cs="Arial"/>
        </w:rPr>
      </w:pPr>
      <w:r>
        <w:rPr>
          <w:rFonts w:ascii="Arial" w:hAnsi="Arial" w:cs="Arial"/>
        </w:rPr>
        <w:br w:type="page"/>
      </w:r>
      <w:r w:rsidR="00B724DA">
        <w:rPr>
          <w:rFonts w:ascii="Arial" w:hAnsi="Arial" w:cs="Arial"/>
        </w:rPr>
        <w:lastRenderedPageBreak/>
        <w:t>INVESTMENT FUNDS</w:t>
      </w:r>
    </w:p>
    <w:p w:rsidR="00B724DA" w:rsidRPr="00B13465" w:rsidRDefault="00B724DA">
      <w:pPr>
        <w:spacing w:before="120" w:after="120"/>
        <w:jc w:val="both"/>
        <w:rPr>
          <w:rFonts w:ascii="Arial" w:eastAsia="PMingLiU" w:hAnsi="Arial" w:cs="Arial"/>
        </w:rPr>
      </w:pPr>
      <w:r w:rsidRPr="00B13465">
        <w:rPr>
          <w:rFonts w:ascii="Arial" w:eastAsia="PMingLiU" w:hAnsi="Arial" w:cs="Arial"/>
        </w:rPr>
        <w:t>The investment funds for the Community Foundation of Sonoma County are as follows:</w:t>
      </w:r>
    </w:p>
    <w:p w:rsidR="00B724DA" w:rsidRPr="00B13465" w:rsidRDefault="00B724DA" w:rsidP="00844852">
      <w:pPr>
        <w:keepNext/>
        <w:keepLines/>
        <w:numPr>
          <w:ilvl w:val="0"/>
          <w:numId w:val="43"/>
        </w:numPr>
        <w:spacing w:before="120" w:after="120"/>
        <w:jc w:val="both"/>
        <w:rPr>
          <w:rFonts w:ascii="Arial" w:hAnsi="Arial" w:cs="Arial"/>
        </w:rPr>
      </w:pPr>
      <w:r w:rsidRPr="00B13465">
        <w:rPr>
          <w:rFonts w:ascii="Arial" w:hAnsi="Arial" w:cs="Arial"/>
        </w:rPr>
        <w:t xml:space="preserve">The Long-Term </w:t>
      </w:r>
      <w:r w:rsidR="00153F92" w:rsidRPr="00B13465">
        <w:rPr>
          <w:rFonts w:ascii="Arial" w:hAnsi="Arial" w:cs="Arial"/>
        </w:rPr>
        <w:t>Pool</w:t>
      </w:r>
    </w:p>
    <w:p w:rsidR="00572758" w:rsidRPr="00B13465" w:rsidRDefault="00572758" w:rsidP="00844852">
      <w:pPr>
        <w:keepNext/>
        <w:keepLines/>
        <w:numPr>
          <w:ilvl w:val="0"/>
          <w:numId w:val="43"/>
        </w:numPr>
        <w:spacing w:before="120" w:after="120"/>
        <w:jc w:val="both"/>
        <w:rPr>
          <w:rFonts w:ascii="Arial" w:hAnsi="Arial" w:cs="Arial"/>
        </w:rPr>
      </w:pPr>
      <w:r w:rsidRPr="00B13465">
        <w:rPr>
          <w:rFonts w:ascii="Arial" w:hAnsi="Arial" w:cs="Arial"/>
        </w:rPr>
        <w:t>The Socially Responsible Investment Pool</w:t>
      </w:r>
    </w:p>
    <w:p w:rsidR="00B724DA" w:rsidRPr="00B13465" w:rsidRDefault="00B724DA" w:rsidP="00844852">
      <w:pPr>
        <w:keepNext/>
        <w:keepLines/>
        <w:numPr>
          <w:ilvl w:val="0"/>
          <w:numId w:val="43"/>
        </w:numPr>
        <w:spacing w:before="120" w:after="120"/>
        <w:jc w:val="both"/>
        <w:rPr>
          <w:rFonts w:ascii="Arial" w:hAnsi="Arial" w:cs="Arial"/>
        </w:rPr>
      </w:pPr>
      <w:r w:rsidRPr="00B13465">
        <w:rPr>
          <w:rFonts w:ascii="Arial" w:hAnsi="Arial" w:cs="Arial"/>
        </w:rPr>
        <w:t xml:space="preserve">The Intermediate-Term </w:t>
      </w:r>
      <w:r w:rsidR="00153F92" w:rsidRPr="00B13465">
        <w:rPr>
          <w:rFonts w:ascii="Arial" w:hAnsi="Arial" w:cs="Arial"/>
        </w:rPr>
        <w:t>Pool</w:t>
      </w:r>
    </w:p>
    <w:p w:rsidR="00B724DA" w:rsidRPr="00B13465" w:rsidRDefault="00B724DA" w:rsidP="00844852">
      <w:pPr>
        <w:keepNext/>
        <w:keepLines/>
        <w:numPr>
          <w:ilvl w:val="0"/>
          <w:numId w:val="43"/>
        </w:numPr>
        <w:spacing w:before="120" w:after="120"/>
        <w:jc w:val="both"/>
        <w:rPr>
          <w:rFonts w:ascii="Arial" w:hAnsi="Arial" w:cs="Arial"/>
        </w:rPr>
      </w:pPr>
      <w:r w:rsidRPr="00B13465">
        <w:rPr>
          <w:rFonts w:ascii="Arial" w:hAnsi="Arial" w:cs="Arial"/>
        </w:rPr>
        <w:t xml:space="preserve">The Short-Term Investment </w:t>
      </w:r>
      <w:r w:rsidR="00153F92" w:rsidRPr="00B13465">
        <w:rPr>
          <w:rFonts w:ascii="Arial" w:hAnsi="Arial" w:cs="Arial"/>
        </w:rPr>
        <w:t>Pool</w:t>
      </w:r>
    </w:p>
    <w:p w:rsidR="00B724DA" w:rsidRPr="00B13465" w:rsidRDefault="00B724DA" w:rsidP="00844852">
      <w:pPr>
        <w:keepNext/>
        <w:keepLines/>
        <w:numPr>
          <w:ilvl w:val="0"/>
          <w:numId w:val="43"/>
        </w:numPr>
        <w:spacing w:before="120" w:after="120"/>
        <w:jc w:val="both"/>
        <w:rPr>
          <w:rFonts w:ascii="Arial" w:hAnsi="Arial" w:cs="Arial"/>
        </w:rPr>
      </w:pPr>
      <w:r w:rsidRPr="00B13465">
        <w:rPr>
          <w:rFonts w:ascii="Arial" w:hAnsi="Arial" w:cs="Arial"/>
        </w:rPr>
        <w:t>The Pooled Income Fund</w:t>
      </w:r>
    </w:p>
    <w:p w:rsidR="00B724DA" w:rsidRPr="00B13465" w:rsidRDefault="00B724DA" w:rsidP="00844852">
      <w:pPr>
        <w:keepNext/>
        <w:keepLines/>
        <w:numPr>
          <w:ilvl w:val="0"/>
          <w:numId w:val="43"/>
        </w:numPr>
        <w:spacing w:before="120" w:after="120"/>
        <w:jc w:val="both"/>
        <w:rPr>
          <w:rFonts w:ascii="Arial" w:hAnsi="Arial" w:cs="Arial"/>
        </w:rPr>
      </w:pPr>
      <w:r w:rsidRPr="00B13465">
        <w:rPr>
          <w:rFonts w:ascii="Arial" w:hAnsi="Arial" w:cs="Arial"/>
        </w:rPr>
        <w:t>Charitable Remainder Trust Fund(s) – as separately identified by the specific goals and objectives of each trust.</w:t>
      </w:r>
    </w:p>
    <w:p w:rsidR="00F206DE" w:rsidRDefault="00B724DA" w:rsidP="00F206DE">
      <w:pPr>
        <w:spacing w:before="120" w:after="120"/>
        <w:rPr>
          <w:rFonts w:ascii="Arial" w:eastAsia="PMingLiU" w:hAnsi="Arial" w:cs="Arial"/>
        </w:rPr>
      </w:pPr>
      <w:r w:rsidRPr="00B13465">
        <w:rPr>
          <w:rFonts w:ascii="Arial" w:eastAsia="PMingLiU" w:hAnsi="Arial" w:cs="Arial"/>
        </w:rPr>
        <w:t xml:space="preserve">This investment policy only covers the individual investment funds that have specific guidelines </w:t>
      </w:r>
      <w:r w:rsidR="00B13465">
        <w:rPr>
          <w:rFonts w:ascii="Arial" w:eastAsia="PMingLiU" w:hAnsi="Arial" w:cs="Arial"/>
        </w:rPr>
        <w:t xml:space="preserve">covered and attached </w:t>
      </w:r>
      <w:r w:rsidR="002A20F3">
        <w:rPr>
          <w:rFonts w:ascii="Arial" w:eastAsia="PMingLiU" w:hAnsi="Arial" w:cs="Arial"/>
        </w:rPr>
        <w:t xml:space="preserve">as </w:t>
      </w:r>
      <w:r w:rsidR="00B13465">
        <w:rPr>
          <w:rFonts w:ascii="Arial" w:eastAsia="PMingLiU" w:hAnsi="Arial" w:cs="Arial"/>
        </w:rPr>
        <w:t>Addenda.</w:t>
      </w:r>
    </w:p>
    <w:p w:rsidR="00B724DA" w:rsidRPr="00F206DE" w:rsidRDefault="00F206DE" w:rsidP="00F206DE">
      <w:pPr>
        <w:spacing w:before="120" w:after="120"/>
        <w:jc w:val="center"/>
        <w:rPr>
          <w:rFonts w:ascii="Arial" w:hAnsi="Arial" w:cs="Arial"/>
          <w:b/>
          <w:sz w:val="32"/>
          <w:u w:val="single"/>
        </w:rPr>
      </w:pPr>
      <w:r>
        <w:rPr>
          <w:rFonts w:ascii="Arial" w:eastAsia="PMingLiU" w:hAnsi="Arial" w:cs="Arial"/>
        </w:rPr>
        <w:br w:type="page"/>
      </w:r>
      <w:r w:rsidR="00B724DA" w:rsidRPr="00F206DE">
        <w:rPr>
          <w:rFonts w:ascii="Arial" w:hAnsi="Arial" w:cs="Arial"/>
          <w:b/>
          <w:bCs/>
          <w:sz w:val="32"/>
          <w:u w:val="single"/>
        </w:rPr>
        <w:lastRenderedPageBreak/>
        <w:t xml:space="preserve">Addendum A </w:t>
      </w:r>
      <w:r w:rsidR="004B33C8" w:rsidRPr="00F206DE">
        <w:rPr>
          <w:rFonts w:ascii="Arial" w:hAnsi="Arial" w:cs="Arial"/>
          <w:b/>
          <w:bCs/>
          <w:sz w:val="32"/>
          <w:u w:val="single"/>
        </w:rPr>
        <w:t>–</w:t>
      </w:r>
      <w:r w:rsidR="00B724DA" w:rsidRPr="00F206DE">
        <w:rPr>
          <w:rFonts w:ascii="Arial" w:hAnsi="Arial" w:cs="Arial"/>
          <w:b/>
          <w:bCs/>
          <w:sz w:val="32"/>
          <w:u w:val="single"/>
        </w:rPr>
        <w:t xml:space="preserve"> </w:t>
      </w:r>
      <w:r w:rsidR="004B33C8" w:rsidRPr="00F206DE">
        <w:rPr>
          <w:rFonts w:ascii="Arial" w:hAnsi="Arial" w:cs="Arial"/>
          <w:b/>
          <w:sz w:val="32"/>
          <w:u w:val="single"/>
        </w:rPr>
        <w:t>Long-</w:t>
      </w:r>
      <w:r w:rsidR="00B724DA" w:rsidRPr="00F206DE">
        <w:rPr>
          <w:rFonts w:ascii="Arial" w:hAnsi="Arial" w:cs="Arial"/>
          <w:b/>
          <w:sz w:val="32"/>
          <w:u w:val="single"/>
        </w:rPr>
        <w:t xml:space="preserve">Term </w:t>
      </w:r>
      <w:r w:rsidR="00153F92" w:rsidRPr="00F206DE">
        <w:rPr>
          <w:rFonts w:ascii="Arial" w:hAnsi="Arial" w:cs="Arial"/>
          <w:b/>
          <w:sz w:val="32"/>
          <w:u w:val="single"/>
        </w:rPr>
        <w:t>Pool</w:t>
      </w:r>
      <w:r w:rsidR="00B724DA" w:rsidRPr="00F206DE">
        <w:rPr>
          <w:rFonts w:ascii="Arial" w:hAnsi="Arial" w:cs="Arial"/>
          <w:b/>
          <w:bCs/>
          <w:sz w:val="32"/>
          <w:u w:val="single"/>
        </w:rPr>
        <w:t xml:space="preserve"> Guidelines</w:t>
      </w:r>
    </w:p>
    <w:p w:rsidR="00C73995" w:rsidRPr="00C73995" w:rsidRDefault="00C73995">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b/>
          <w:spacing w:val="-3"/>
          <w:sz w:val="4"/>
          <w:szCs w:val="4"/>
        </w:rPr>
      </w:pPr>
      <w:bookmarkStart w:id="26" w:name="_Toc33350338"/>
    </w:p>
    <w:p w:rsidR="00B724DA" w:rsidRDefault="00B724DA">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spacing w:val="-3"/>
        </w:rPr>
      </w:pPr>
      <w:r>
        <w:rPr>
          <w:rFonts w:ascii="Arial" w:hAnsi="Arial" w:cs="Arial"/>
          <w:b/>
          <w:spacing w:val="-3"/>
        </w:rPr>
        <w:t>Type of Funds:</w:t>
      </w:r>
      <w:r>
        <w:rPr>
          <w:rFonts w:ascii="Arial" w:hAnsi="Arial" w:cs="Arial"/>
          <w:b/>
          <w:spacing w:val="-3"/>
        </w:rPr>
        <w:tab/>
      </w:r>
      <w:r>
        <w:rPr>
          <w:rFonts w:ascii="Arial" w:hAnsi="Arial" w:cs="Arial"/>
          <w:spacing w:val="-3"/>
        </w:rPr>
        <w:t>Endowment</w:t>
      </w:r>
    </w:p>
    <w:p w:rsidR="00B724DA" w:rsidRDefault="00B724DA">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color w:val="000000"/>
          <w:spacing w:val="-3"/>
        </w:rPr>
      </w:pPr>
      <w:r>
        <w:rPr>
          <w:rFonts w:ascii="Arial" w:hAnsi="Arial" w:cs="Arial"/>
          <w:b/>
          <w:spacing w:val="-3"/>
        </w:rPr>
        <w:t>Time Horizon:</w:t>
      </w:r>
      <w:r>
        <w:rPr>
          <w:rFonts w:ascii="Arial" w:hAnsi="Arial" w:cs="Arial"/>
          <w:b/>
          <w:spacing w:val="-3"/>
        </w:rPr>
        <w:tab/>
      </w:r>
      <w:r>
        <w:rPr>
          <w:rFonts w:ascii="Arial" w:hAnsi="Arial" w:cs="Arial"/>
          <w:color w:val="000000"/>
          <w:spacing w:val="-3"/>
        </w:rPr>
        <w:t>Perpetuity</w:t>
      </w:r>
    </w:p>
    <w:p w:rsidR="00B724DA" w:rsidRDefault="00B724DA">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b/>
          <w:color w:val="000000"/>
          <w:spacing w:val="-3"/>
        </w:rPr>
      </w:pPr>
      <w:r>
        <w:rPr>
          <w:rFonts w:ascii="Arial" w:hAnsi="Arial" w:cs="Arial"/>
          <w:b/>
          <w:color w:val="000000"/>
          <w:spacing w:val="-3"/>
        </w:rPr>
        <w:t>Investment Horizon:</w:t>
      </w:r>
      <w:r>
        <w:rPr>
          <w:rFonts w:ascii="Arial" w:hAnsi="Arial" w:cs="Arial"/>
          <w:b/>
          <w:color w:val="000000"/>
          <w:spacing w:val="-3"/>
        </w:rPr>
        <w:tab/>
      </w:r>
      <w:r>
        <w:rPr>
          <w:rFonts w:ascii="Arial" w:hAnsi="Arial" w:cs="Arial"/>
          <w:color w:val="000000"/>
          <w:spacing w:val="-3"/>
        </w:rPr>
        <w:t>20 Years and/or a full economic business cycle</w:t>
      </w:r>
    </w:p>
    <w:p w:rsidR="00153F92" w:rsidRDefault="00153F92" w:rsidP="00153F92">
      <w:pPr>
        <w:widowControl w:val="0"/>
        <w:numPr>
          <w:ilvl w:val="12"/>
          <w:numId w:val="0"/>
        </w:numPr>
        <w:tabs>
          <w:tab w:val="center" w:pos="-720"/>
          <w:tab w:val="left" w:pos="2880"/>
          <w:tab w:val="left" w:pos="4140"/>
          <w:tab w:val="center" w:pos="4680"/>
        </w:tabs>
        <w:suppressAutoHyphens/>
        <w:ind w:left="2880" w:right="360" w:hanging="2880"/>
        <w:rPr>
          <w:rFonts w:ascii="Arial" w:hAnsi="Arial" w:cs="Arial"/>
          <w:b/>
          <w:spacing w:val="-3"/>
        </w:rPr>
      </w:pPr>
      <w:r>
        <w:rPr>
          <w:rFonts w:ascii="Arial" w:hAnsi="Arial" w:cs="Arial"/>
          <w:b/>
          <w:spacing w:val="-3"/>
        </w:rPr>
        <w:t>Investment Objective</w:t>
      </w:r>
    </w:p>
    <w:p w:rsidR="00B724DA" w:rsidRDefault="00B724DA" w:rsidP="00153F92">
      <w:pPr>
        <w:widowControl w:val="0"/>
        <w:numPr>
          <w:ilvl w:val="12"/>
          <w:numId w:val="0"/>
        </w:numPr>
        <w:tabs>
          <w:tab w:val="center" w:pos="-720"/>
          <w:tab w:val="left" w:pos="2880"/>
          <w:tab w:val="left" w:pos="4140"/>
          <w:tab w:val="center" w:pos="4680"/>
        </w:tabs>
        <w:suppressAutoHyphens/>
        <w:ind w:left="2880" w:right="360" w:hanging="2880"/>
        <w:rPr>
          <w:rFonts w:ascii="Arial" w:hAnsi="Arial" w:cs="Arial"/>
          <w:bCs/>
        </w:rPr>
      </w:pPr>
      <w:r>
        <w:rPr>
          <w:rFonts w:ascii="Arial" w:hAnsi="Arial" w:cs="Arial"/>
          <w:b/>
          <w:spacing w:val="-3"/>
        </w:rPr>
        <w:t>Real Return Target:</w:t>
      </w:r>
      <w:r>
        <w:rPr>
          <w:rFonts w:ascii="Arial" w:hAnsi="Arial" w:cs="Arial"/>
          <w:b/>
          <w:spacing w:val="-3"/>
        </w:rPr>
        <w:tab/>
      </w:r>
      <w:r>
        <w:rPr>
          <w:rFonts w:ascii="Arial" w:hAnsi="Arial" w:cs="Arial"/>
          <w:spacing w:val="-3"/>
        </w:rPr>
        <w:t xml:space="preserve">CPI + </w:t>
      </w:r>
      <w:r>
        <w:rPr>
          <w:rFonts w:ascii="Arial" w:hAnsi="Arial" w:cs="Arial"/>
          <w:color w:val="000000"/>
          <w:spacing w:val="-3"/>
        </w:rPr>
        <w:t>5.</w:t>
      </w:r>
      <w:r w:rsidR="00AC0561">
        <w:rPr>
          <w:rFonts w:ascii="Arial" w:hAnsi="Arial" w:cs="Arial"/>
          <w:color w:val="000000"/>
          <w:spacing w:val="-3"/>
        </w:rPr>
        <w:t>50</w:t>
      </w:r>
      <w:r>
        <w:rPr>
          <w:rFonts w:ascii="Arial" w:hAnsi="Arial" w:cs="Arial"/>
          <w:color w:val="000000"/>
          <w:spacing w:val="-3"/>
        </w:rPr>
        <w:t>% (</w:t>
      </w:r>
      <w:r>
        <w:rPr>
          <w:rFonts w:ascii="Arial" w:hAnsi="Arial" w:cs="Arial"/>
          <w:spacing w:val="-3"/>
        </w:rPr>
        <w:t>net of all investment expenses)</w:t>
      </w:r>
    </w:p>
    <w:p w:rsidR="00B724DA" w:rsidRDefault="00B724DA">
      <w:pPr>
        <w:pStyle w:val="BodyText3"/>
        <w:keepNext w:val="0"/>
        <w:keepLines w:val="0"/>
        <w:widowControl w:val="0"/>
        <w:tabs>
          <w:tab w:val="clear" w:pos="2520"/>
          <w:tab w:val="left" w:pos="2880"/>
        </w:tabs>
        <w:spacing w:before="120" w:after="120"/>
        <w:ind w:left="2880" w:hanging="2880"/>
        <w:rPr>
          <w:rFonts w:ascii="Arial" w:hAnsi="Arial" w:cs="Arial"/>
        </w:rPr>
      </w:pPr>
      <w:r>
        <w:rPr>
          <w:rFonts w:ascii="Arial" w:hAnsi="Arial" w:cs="Arial"/>
          <w:b/>
        </w:rPr>
        <w:t>Spending Policy:</w:t>
      </w:r>
      <w:r>
        <w:rPr>
          <w:rFonts w:ascii="Arial" w:hAnsi="Arial" w:cs="Arial"/>
          <w:b/>
        </w:rPr>
        <w:tab/>
      </w:r>
      <w:r>
        <w:rPr>
          <w:rFonts w:ascii="Arial" w:hAnsi="Arial" w:cs="Arial"/>
        </w:rPr>
        <w:t>Spending rate of 4% plus an Administrative Expense Rate of 1.</w:t>
      </w:r>
      <w:r w:rsidR="00AC0561">
        <w:rPr>
          <w:rFonts w:ascii="Arial" w:hAnsi="Arial" w:cs="Arial"/>
        </w:rPr>
        <w:t>50</w:t>
      </w:r>
      <w:r>
        <w:rPr>
          <w:rFonts w:ascii="Arial" w:hAnsi="Arial" w:cs="Arial"/>
        </w:rPr>
        <w:t>%</w:t>
      </w:r>
    </w:p>
    <w:p w:rsidR="00B724DA" w:rsidRDefault="00B724DA">
      <w:pPr>
        <w:widowControl w:val="0"/>
        <w:jc w:val="both"/>
        <w:rPr>
          <w:rFonts w:ascii="Arial" w:hAnsi="Arial" w:cs="Arial"/>
          <w:bCs/>
        </w:rPr>
      </w:pPr>
      <w:r>
        <w:rPr>
          <w:rFonts w:ascii="Arial" w:hAnsi="Arial" w:cs="Arial"/>
          <w:bCs/>
        </w:rPr>
        <w:t xml:space="preserve">The Spending Policy (4% </w:t>
      </w:r>
      <w:proofErr w:type="gramStart"/>
      <w:r>
        <w:rPr>
          <w:rFonts w:ascii="Arial" w:hAnsi="Arial" w:cs="Arial"/>
          <w:bCs/>
        </w:rPr>
        <w:t>Spending</w:t>
      </w:r>
      <w:proofErr w:type="gramEnd"/>
      <w:r>
        <w:rPr>
          <w:rFonts w:ascii="Arial" w:hAnsi="Arial" w:cs="Arial"/>
          <w:bCs/>
        </w:rPr>
        <w:t xml:space="preserve"> + 1.</w:t>
      </w:r>
      <w:r w:rsidR="00AC0561">
        <w:rPr>
          <w:rFonts w:ascii="Arial" w:hAnsi="Arial" w:cs="Arial"/>
          <w:bCs/>
        </w:rPr>
        <w:t>50</w:t>
      </w:r>
      <w:r>
        <w:rPr>
          <w:rFonts w:ascii="Arial" w:hAnsi="Arial" w:cs="Arial"/>
          <w:bCs/>
        </w:rPr>
        <w:t>% Administrative Expense) based on a trailing 12-quarter moving average of each component fund’s market valuation.</w:t>
      </w:r>
    </w:p>
    <w:p w:rsidR="00B724DA" w:rsidRDefault="00B724DA">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bCs/>
        </w:rPr>
      </w:pPr>
      <w:r>
        <w:rPr>
          <w:rFonts w:ascii="Arial" w:hAnsi="Arial" w:cs="Arial"/>
          <w:b/>
          <w:bCs/>
        </w:rPr>
        <w:t>Risk Benchmark:</w:t>
      </w:r>
      <w:r>
        <w:rPr>
          <w:rFonts w:ascii="Arial" w:hAnsi="Arial" w:cs="Arial"/>
          <w:b/>
          <w:bCs/>
        </w:rPr>
        <w:tab/>
      </w:r>
      <w:r>
        <w:rPr>
          <w:rFonts w:ascii="Arial" w:hAnsi="Arial" w:cs="Arial"/>
          <w:bCs/>
        </w:rPr>
        <w:t>65% All Country World Index (ACWI), 35% World Government Bond Index (WGBI).</w:t>
      </w:r>
    </w:p>
    <w:p w:rsidR="00B724DA" w:rsidRDefault="00B724DA">
      <w:pPr>
        <w:widowControl w:val="0"/>
        <w:jc w:val="both"/>
        <w:rPr>
          <w:rFonts w:ascii="Arial" w:hAnsi="Arial" w:cs="Arial"/>
        </w:rPr>
      </w:pPr>
      <w:r>
        <w:rPr>
          <w:rFonts w:ascii="Arial" w:hAnsi="Arial" w:cs="Arial"/>
          <w:bCs/>
        </w:rPr>
        <w:t>Total portfolio target risk band is ±20% of the risk associated with the risk benchmark listed above.  Total risk will be measured by the volatility (standard deviation) of expected and/or actual investment returns.</w:t>
      </w:r>
    </w:p>
    <w:p w:rsidR="00B724DA" w:rsidRPr="00C73995" w:rsidRDefault="00B724DA">
      <w:pPr>
        <w:widowControl w:val="0"/>
        <w:jc w:val="both"/>
        <w:rPr>
          <w:rFonts w:ascii="Arial" w:hAnsi="Arial" w:cs="Arial"/>
          <w:sz w:val="8"/>
          <w:szCs w:val="8"/>
        </w:rPr>
      </w:pPr>
    </w:p>
    <w:p w:rsidR="00B724DA" w:rsidRDefault="00B724DA">
      <w:pPr>
        <w:widowControl w:val="0"/>
        <w:jc w:val="both"/>
        <w:rPr>
          <w:rFonts w:ascii="Arial" w:hAnsi="Arial" w:cs="Arial"/>
          <w:b/>
          <w:bCs/>
        </w:rPr>
      </w:pPr>
      <w:r>
        <w:rPr>
          <w:rFonts w:ascii="Arial" w:hAnsi="Arial" w:cs="Arial"/>
          <w:b/>
          <w:bCs/>
        </w:rPr>
        <w:t>Asset Allocation Guidelines:</w:t>
      </w:r>
    </w:p>
    <w:p w:rsidR="00B724DA" w:rsidRDefault="00B724DA">
      <w:pPr>
        <w:widowControl w:val="0"/>
        <w:jc w:val="both"/>
        <w:rPr>
          <w:rFonts w:ascii="Arial" w:hAnsi="Arial" w:cs="Arial"/>
          <w:bCs/>
        </w:rPr>
      </w:pPr>
      <w:r>
        <w:rPr>
          <w:rFonts w:ascii="Arial" w:hAnsi="Arial" w:cs="Arial"/>
          <w:bCs/>
        </w:rPr>
        <w:t xml:space="preserve">The diversification of the investment assets shall be in accordance with the long-term strategic asset allocation parameters set below.  The sub-asset class targets will be managed by the Investment Management Consultant’s recommendations </w:t>
      </w:r>
      <w:r w:rsidR="00AC0561">
        <w:rPr>
          <w:rFonts w:ascii="Arial" w:hAnsi="Arial" w:cs="Arial"/>
          <w:bCs/>
        </w:rPr>
        <w:t xml:space="preserve">for </w:t>
      </w:r>
      <w:r>
        <w:rPr>
          <w:rFonts w:ascii="Arial" w:hAnsi="Arial" w:cs="Arial"/>
          <w:bCs/>
        </w:rPr>
        <w:t xml:space="preserve">the Investment Advisory Committee’s approval.  This allows for short to intermediate-term adjustments to the long-term strategic target allocations in light of the current market environment.  </w:t>
      </w:r>
    </w:p>
    <w:p w:rsidR="00B724DA" w:rsidRPr="006B0811" w:rsidRDefault="00B724DA">
      <w:pPr>
        <w:widowControl w:val="0"/>
        <w:jc w:val="both"/>
        <w:rPr>
          <w:rFonts w:ascii="Arial" w:hAnsi="Arial" w:cs="Arial"/>
          <w:sz w:val="12"/>
          <w:szCs w:val="12"/>
        </w:rPr>
      </w:pPr>
    </w:p>
    <w:p w:rsidR="00B724DA" w:rsidRDefault="00B724DA">
      <w:pPr>
        <w:widowControl w:val="0"/>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L-T Target</w:t>
      </w:r>
      <w:r>
        <w:rPr>
          <w:rFonts w:ascii="Arial" w:hAnsi="Arial" w:cs="Arial"/>
          <w:b/>
          <w:bCs/>
        </w:rPr>
        <w:tab/>
        <w:t>Maximum</w:t>
      </w:r>
    </w:p>
    <w:p w:rsidR="00B724DA" w:rsidRDefault="00B724DA">
      <w:pPr>
        <w:widowControl w:val="0"/>
        <w:ind w:firstLine="720"/>
        <w:jc w:val="both"/>
        <w:rPr>
          <w:rFonts w:ascii="Arial" w:hAnsi="Arial" w:cs="Arial"/>
          <w:b/>
          <w:bCs/>
        </w:rPr>
      </w:pPr>
      <w:r>
        <w:rPr>
          <w:rFonts w:ascii="Arial" w:hAnsi="Arial" w:cs="Arial"/>
          <w:b/>
          <w:bCs/>
          <w:u w:val="single"/>
        </w:rPr>
        <w:t>Asset Class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Allocation</w:t>
      </w:r>
      <w:r>
        <w:rPr>
          <w:rFonts w:ascii="Arial" w:hAnsi="Arial" w:cs="Arial"/>
          <w:b/>
          <w:bCs/>
        </w:rPr>
        <w:tab/>
      </w:r>
      <w:r>
        <w:rPr>
          <w:rFonts w:ascii="Arial" w:hAnsi="Arial" w:cs="Arial"/>
          <w:b/>
          <w:bCs/>
          <w:u w:val="single"/>
        </w:rPr>
        <w:t>Allocation</w:t>
      </w:r>
    </w:p>
    <w:p w:rsidR="00B724DA" w:rsidRDefault="00B724DA">
      <w:pPr>
        <w:widowControl w:val="0"/>
        <w:ind w:firstLine="720"/>
        <w:jc w:val="both"/>
        <w:rPr>
          <w:rFonts w:ascii="Arial" w:hAnsi="Arial" w:cs="Arial"/>
          <w:b/>
          <w:bCs/>
        </w:rPr>
      </w:pPr>
      <w:r>
        <w:rPr>
          <w:rFonts w:ascii="Arial" w:hAnsi="Arial" w:cs="Arial"/>
          <w:b/>
          <w:bCs/>
        </w:rPr>
        <w:t>Public Equity</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40%</w:t>
      </w:r>
      <w:r>
        <w:rPr>
          <w:rFonts w:ascii="Arial" w:hAnsi="Arial" w:cs="Arial"/>
          <w:b/>
          <w:bCs/>
        </w:rPr>
        <w:tab/>
        <w:t xml:space="preserve">   </w:t>
      </w:r>
      <w:r>
        <w:rPr>
          <w:rFonts w:ascii="Arial" w:hAnsi="Arial" w:cs="Arial"/>
          <w:b/>
          <w:bCs/>
        </w:rPr>
        <w:tab/>
        <w:t xml:space="preserve">   65%</w:t>
      </w:r>
    </w:p>
    <w:p w:rsidR="00B724DA" w:rsidRDefault="00B724DA">
      <w:pPr>
        <w:widowControl w:val="0"/>
        <w:ind w:left="720" w:firstLine="360"/>
        <w:rPr>
          <w:rFonts w:ascii="Arial" w:hAnsi="Arial" w:cs="Arial"/>
          <w:bCs/>
        </w:rPr>
      </w:pPr>
      <w:r>
        <w:rPr>
          <w:rFonts w:ascii="Arial" w:hAnsi="Arial" w:cs="Arial"/>
          <w:bCs/>
        </w:rPr>
        <w:t>US Equity – All Cap/Large Cap</w:t>
      </w:r>
      <w:r>
        <w:rPr>
          <w:rFonts w:ascii="Arial" w:hAnsi="Arial" w:cs="Arial"/>
          <w:bCs/>
        </w:rPr>
        <w:tab/>
      </w:r>
      <w:r>
        <w:rPr>
          <w:rFonts w:ascii="Arial" w:hAnsi="Arial" w:cs="Arial"/>
          <w:bCs/>
        </w:rPr>
        <w:tab/>
      </w:r>
      <w:r>
        <w:rPr>
          <w:rFonts w:ascii="Arial" w:hAnsi="Arial" w:cs="Arial"/>
          <w:bCs/>
        </w:rPr>
        <w:tab/>
        <w:t xml:space="preserve">   40%</w:t>
      </w:r>
    </w:p>
    <w:p w:rsidR="00B724DA" w:rsidRDefault="00B724DA">
      <w:pPr>
        <w:widowControl w:val="0"/>
        <w:ind w:left="720" w:firstLine="360"/>
        <w:rPr>
          <w:rFonts w:ascii="Arial" w:hAnsi="Arial" w:cs="Arial"/>
          <w:bCs/>
        </w:rPr>
      </w:pPr>
      <w:r>
        <w:rPr>
          <w:rFonts w:ascii="Arial" w:hAnsi="Arial" w:cs="Arial"/>
          <w:bCs/>
        </w:rPr>
        <w:t>US Equity – Small/Mid Cap</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20%</w:t>
      </w:r>
    </w:p>
    <w:p w:rsidR="00B724DA" w:rsidRDefault="00B724DA">
      <w:pPr>
        <w:widowControl w:val="0"/>
        <w:ind w:left="720" w:firstLine="360"/>
        <w:rPr>
          <w:rFonts w:ascii="Arial" w:hAnsi="Arial" w:cs="Arial"/>
          <w:bCs/>
        </w:rPr>
      </w:pPr>
      <w:smartTag w:uri="urn:schemas-microsoft-com:office:smarttags" w:element="PersonName">
        <w:r>
          <w:rPr>
            <w:rFonts w:ascii="Arial" w:hAnsi="Arial" w:cs="Arial"/>
            <w:bCs/>
          </w:rPr>
          <w:t>Intern</w:t>
        </w:r>
      </w:smartTag>
      <w:r>
        <w:rPr>
          <w:rFonts w:ascii="Arial" w:hAnsi="Arial" w:cs="Arial"/>
          <w:bCs/>
        </w:rPr>
        <w:t>ational Equity – Developed</w:t>
      </w:r>
      <w:r>
        <w:rPr>
          <w:rFonts w:ascii="Arial" w:hAnsi="Arial" w:cs="Arial"/>
          <w:bCs/>
        </w:rPr>
        <w:tab/>
      </w:r>
      <w:r>
        <w:rPr>
          <w:rFonts w:ascii="Arial" w:hAnsi="Arial" w:cs="Arial"/>
          <w:bCs/>
        </w:rPr>
        <w:tab/>
      </w:r>
      <w:r>
        <w:rPr>
          <w:rFonts w:ascii="Arial" w:hAnsi="Arial" w:cs="Arial"/>
          <w:bCs/>
        </w:rPr>
        <w:tab/>
        <w:t xml:space="preserve">   30%</w:t>
      </w:r>
    </w:p>
    <w:p w:rsidR="00B724DA" w:rsidRDefault="00B724DA">
      <w:pPr>
        <w:widowControl w:val="0"/>
        <w:ind w:left="720" w:firstLine="360"/>
        <w:rPr>
          <w:rFonts w:ascii="Arial" w:hAnsi="Arial" w:cs="Arial"/>
          <w:bCs/>
        </w:rPr>
      </w:pPr>
      <w:smartTag w:uri="urn:schemas-microsoft-com:office:smarttags" w:element="PersonName">
        <w:r>
          <w:rPr>
            <w:rFonts w:ascii="Arial" w:hAnsi="Arial" w:cs="Arial"/>
            <w:bCs/>
          </w:rPr>
          <w:t>Intern</w:t>
        </w:r>
      </w:smartTag>
      <w:r>
        <w:rPr>
          <w:rFonts w:ascii="Arial" w:hAnsi="Arial" w:cs="Arial"/>
          <w:bCs/>
        </w:rPr>
        <w:t>ational Equity – Emerging</w:t>
      </w:r>
      <w:r>
        <w:rPr>
          <w:rFonts w:ascii="Arial" w:hAnsi="Arial" w:cs="Arial"/>
          <w:bCs/>
        </w:rPr>
        <w:tab/>
      </w:r>
      <w:r>
        <w:rPr>
          <w:rFonts w:ascii="Arial" w:hAnsi="Arial" w:cs="Arial"/>
          <w:bCs/>
        </w:rPr>
        <w:tab/>
      </w:r>
      <w:r>
        <w:rPr>
          <w:rFonts w:ascii="Arial" w:hAnsi="Arial" w:cs="Arial"/>
          <w:bCs/>
        </w:rPr>
        <w:tab/>
        <w:t xml:space="preserve">   15%</w:t>
      </w:r>
    </w:p>
    <w:p w:rsidR="00B724DA" w:rsidRDefault="00B724DA">
      <w:pPr>
        <w:widowControl w:val="0"/>
        <w:ind w:left="720" w:firstLine="360"/>
        <w:rPr>
          <w:rFonts w:ascii="Arial" w:hAnsi="Arial" w:cs="Arial"/>
          <w:bCs/>
        </w:rPr>
      </w:pPr>
      <w:r>
        <w:rPr>
          <w:rFonts w:ascii="Arial" w:hAnsi="Arial" w:cs="Arial"/>
          <w:bCs/>
        </w:rPr>
        <w:t>Global Equity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40%</w:t>
      </w:r>
    </w:p>
    <w:p w:rsidR="00B724DA" w:rsidRPr="00C73995" w:rsidRDefault="00B724DA">
      <w:pPr>
        <w:widowControl w:val="0"/>
        <w:ind w:left="720"/>
        <w:rPr>
          <w:rFonts w:ascii="Arial" w:hAnsi="Arial" w:cs="Arial"/>
          <w:bCs/>
          <w:sz w:val="8"/>
          <w:szCs w:val="8"/>
        </w:rPr>
      </w:pPr>
    </w:p>
    <w:p w:rsidR="00B724DA" w:rsidRDefault="00B724DA">
      <w:pPr>
        <w:widowControl w:val="0"/>
        <w:ind w:left="720"/>
        <w:rPr>
          <w:rFonts w:ascii="Arial" w:hAnsi="Arial" w:cs="Arial"/>
          <w:b/>
          <w:bCs/>
        </w:rPr>
      </w:pPr>
      <w:r>
        <w:rPr>
          <w:rFonts w:ascii="Arial" w:hAnsi="Arial" w:cs="Arial"/>
          <w:b/>
          <w:bCs/>
        </w:rPr>
        <w:t>Fixed Income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25%</w:t>
      </w:r>
      <w:r>
        <w:rPr>
          <w:rFonts w:ascii="Arial" w:hAnsi="Arial" w:cs="Arial"/>
          <w:b/>
          <w:bCs/>
        </w:rPr>
        <w:tab/>
      </w:r>
      <w:r>
        <w:rPr>
          <w:rFonts w:ascii="Arial" w:hAnsi="Arial" w:cs="Arial"/>
          <w:b/>
          <w:bCs/>
        </w:rPr>
        <w:tab/>
        <w:t xml:space="preserve">   40%</w:t>
      </w:r>
    </w:p>
    <w:p w:rsidR="00B724DA" w:rsidRDefault="00B724DA">
      <w:pPr>
        <w:widowControl w:val="0"/>
        <w:ind w:left="720" w:firstLine="360"/>
        <w:rPr>
          <w:rFonts w:ascii="Arial" w:hAnsi="Arial" w:cs="Arial"/>
          <w:bCs/>
        </w:rPr>
      </w:pPr>
      <w:r>
        <w:rPr>
          <w:rFonts w:ascii="Arial" w:hAnsi="Arial" w:cs="Arial"/>
          <w:bCs/>
        </w:rPr>
        <w:t>Core US Fixed Income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40%</w:t>
      </w:r>
    </w:p>
    <w:p w:rsidR="00B724DA" w:rsidRDefault="00B724DA">
      <w:pPr>
        <w:widowControl w:val="0"/>
        <w:ind w:left="720" w:firstLine="360"/>
        <w:rPr>
          <w:rFonts w:ascii="Arial" w:hAnsi="Arial" w:cs="Arial"/>
          <w:bCs/>
        </w:rPr>
      </w:pPr>
      <w:r>
        <w:rPr>
          <w:rFonts w:ascii="Arial" w:hAnsi="Arial" w:cs="Arial"/>
          <w:bCs/>
        </w:rPr>
        <w:t>Global Fixed Income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40%</w:t>
      </w:r>
      <w:r>
        <w:rPr>
          <w:rFonts w:ascii="Arial" w:hAnsi="Arial" w:cs="Arial"/>
          <w:bCs/>
        </w:rPr>
        <w:tab/>
      </w:r>
    </w:p>
    <w:p w:rsidR="00B724DA" w:rsidRDefault="00B724DA">
      <w:pPr>
        <w:widowControl w:val="0"/>
        <w:ind w:left="720" w:firstLine="360"/>
        <w:rPr>
          <w:rFonts w:ascii="Arial" w:hAnsi="Arial" w:cs="Arial"/>
          <w:bCs/>
        </w:rPr>
      </w:pPr>
      <w:r>
        <w:rPr>
          <w:rFonts w:ascii="Arial" w:hAnsi="Arial" w:cs="Arial"/>
          <w:bCs/>
        </w:rPr>
        <w:t>Opportunistic Fixed Income</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20%</w:t>
      </w:r>
    </w:p>
    <w:p w:rsidR="00B724DA" w:rsidRPr="00C73995" w:rsidRDefault="00B724DA">
      <w:pPr>
        <w:widowControl w:val="0"/>
        <w:ind w:firstLine="720"/>
        <w:jc w:val="both"/>
        <w:rPr>
          <w:rFonts w:ascii="Arial" w:hAnsi="Arial" w:cs="Arial"/>
          <w:bCs/>
          <w:sz w:val="8"/>
          <w:szCs w:val="8"/>
        </w:rPr>
      </w:pPr>
    </w:p>
    <w:p w:rsidR="00EC04DA" w:rsidRDefault="00EC04DA">
      <w:pPr>
        <w:widowControl w:val="0"/>
        <w:ind w:firstLine="720"/>
        <w:jc w:val="both"/>
        <w:rPr>
          <w:rFonts w:ascii="Arial" w:hAnsi="Arial" w:cs="Arial"/>
          <w:b/>
          <w:bCs/>
        </w:rPr>
      </w:pPr>
      <w:r>
        <w:rPr>
          <w:rFonts w:ascii="Arial" w:hAnsi="Arial" w:cs="Arial"/>
          <w:b/>
          <w:bCs/>
        </w:rPr>
        <w:t>Diversified Strategies</w:t>
      </w:r>
      <w:r w:rsidR="006F7903">
        <w:rPr>
          <w:rFonts w:ascii="Arial" w:hAnsi="Arial" w:cs="Arial"/>
          <w:b/>
          <w:bCs/>
        </w:rPr>
        <w:tab/>
      </w:r>
      <w:r w:rsidR="006F7903">
        <w:rPr>
          <w:rFonts w:ascii="Arial" w:hAnsi="Arial" w:cs="Arial"/>
          <w:b/>
          <w:bCs/>
        </w:rPr>
        <w:tab/>
      </w:r>
      <w:r w:rsidR="006F7903">
        <w:rPr>
          <w:rFonts w:ascii="Arial" w:hAnsi="Arial" w:cs="Arial"/>
          <w:b/>
          <w:bCs/>
        </w:rPr>
        <w:tab/>
        <w:t xml:space="preserve">   25%</w:t>
      </w:r>
      <w:r w:rsidR="006F7903">
        <w:rPr>
          <w:rFonts w:ascii="Arial" w:hAnsi="Arial" w:cs="Arial"/>
          <w:b/>
          <w:bCs/>
        </w:rPr>
        <w:tab/>
      </w:r>
      <w:r w:rsidR="006F7903">
        <w:rPr>
          <w:rFonts w:ascii="Arial" w:hAnsi="Arial" w:cs="Arial"/>
          <w:b/>
          <w:bCs/>
        </w:rPr>
        <w:tab/>
        <w:t xml:space="preserve">   35%</w:t>
      </w:r>
    </w:p>
    <w:p w:rsidR="006F7903" w:rsidRPr="006F7903" w:rsidRDefault="006F7903" w:rsidP="006F7903">
      <w:pPr>
        <w:widowControl w:val="0"/>
        <w:ind w:firstLine="1080"/>
        <w:jc w:val="both"/>
        <w:rPr>
          <w:rFonts w:ascii="Arial" w:hAnsi="Arial" w:cs="Arial"/>
          <w:bCs/>
        </w:rPr>
      </w:pPr>
      <w:r w:rsidRPr="006F7903">
        <w:rPr>
          <w:rFonts w:ascii="Arial" w:hAnsi="Arial" w:cs="Arial"/>
          <w:bCs/>
        </w:rPr>
        <w:t>Tactical Allocation</w:t>
      </w:r>
    </w:p>
    <w:p w:rsidR="006F7903" w:rsidRPr="006F7903" w:rsidRDefault="006F7903" w:rsidP="006F7903">
      <w:pPr>
        <w:widowControl w:val="0"/>
        <w:ind w:firstLine="1080"/>
        <w:jc w:val="both"/>
        <w:rPr>
          <w:rFonts w:ascii="Arial" w:hAnsi="Arial" w:cs="Arial"/>
          <w:bCs/>
        </w:rPr>
      </w:pPr>
      <w:r w:rsidRPr="006F7903">
        <w:rPr>
          <w:rFonts w:ascii="Arial" w:hAnsi="Arial" w:cs="Arial"/>
          <w:bCs/>
        </w:rPr>
        <w:t>Absolute Return</w:t>
      </w:r>
    </w:p>
    <w:p w:rsidR="006F7903" w:rsidRPr="00C73995" w:rsidRDefault="006F7903" w:rsidP="006F7903">
      <w:pPr>
        <w:widowControl w:val="0"/>
        <w:ind w:firstLine="1080"/>
        <w:jc w:val="both"/>
        <w:rPr>
          <w:rFonts w:ascii="Arial" w:hAnsi="Arial" w:cs="Arial"/>
          <w:b/>
          <w:bCs/>
          <w:sz w:val="8"/>
          <w:szCs w:val="8"/>
        </w:rPr>
      </w:pPr>
    </w:p>
    <w:p w:rsidR="00B724DA" w:rsidRDefault="006F7903">
      <w:pPr>
        <w:widowControl w:val="0"/>
        <w:ind w:firstLine="720"/>
        <w:jc w:val="both"/>
        <w:rPr>
          <w:rFonts w:ascii="Arial" w:hAnsi="Arial" w:cs="Arial"/>
          <w:b/>
          <w:bCs/>
        </w:rPr>
      </w:pPr>
      <w:r>
        <w:rPr>
          <w:rFonts w:ascii="Arial" w:hAnsi="Arial" w:cs="Arial"/>
          <w:b/>
          <w:bCs/>
        </w:rPr>
        <w:t>Alternative Strategies</w:t>
      </w:r>
      <w:r w:rsidDel="006F7903">
        <w:rPr>
          <w:rFonts w:ascii="Arial" w:hAnsi="Arial" w:cs="Arial"/>
          <w:b/>
          <w:bCs/>
        </w:rPr>
        <w:t xml:space="preserve"> </w:t>
      </w:r>
      <w:r w:rsidR="00B724DA">
        <w:rPr>
          <w:rFonts w:ascii="Arial" w:hAnsi="Arial" w:cs="Arial"/>
          <w:b/>
          <w:bCs/>
        </w:rPr>
        <w:tab/>
        <w:t xml:space="preserve">   </w:t>
      </w:r>
      <w:r w:rsidR="007D3FF7">
        <w:rPr>
          <w:rFonts w:ascii="Arial" w:hAnsi="Arial" w:cs="Arial"/>
          <w:b/>
          <w:bCs/>
        </w:rPr>
        <w:tab/>
      </w:r>
      <w:r w:rsidR="007D3FF7">
        <w:rPr>
          <w:rFonts w:ascii="Arial" w:hAnsi="Arial" w:cs="Arial"/>
          <w:b/>
          <w:bCs/>
        </w:rPr>
        <w:tab/>
        <w:t xml:space="preserve">   </w:t>
      </w:r>
      <w:r>
        <w:rPr>
          <w:rFonts w:ascii="Arial" w:hAnsi="Arial" w:cs="Arial"/>
          <w:b/>
          <w:bCs/>
        </w:rPr>
        <w:t>10</w:t>
      </w:r>
      <w:r w:rsidR="00B724DA">
        <w:rPr>
          <w:rFonts w:ascii="Arial" w:hAnsi="Arial" w:cs="Arial"/>
          <w:b/>
          <w:bCs/>
        </w:rPr>
        <w:t>%</w:t>
      </w:r>
      <w:r w:rsidR="00B724DA">
        <w:rPr>
          <w:rFonts w:ascii="Arial" w:hAnsi="Arial" w:cs="Arial"/>
          <w:b/>
          <w:bCs/>
        </w:rPr>
        <w:tab/>
      </w:r>
      <w:r w:rsidR="00B724DA">
        <w:rPr>
          <w:rFonts w:ascii="Arial" w:hAnsi="Arial" w:cs="Arial"/>
          <w:b/>
          <w:bCs/>
        </w:rPr>
        <w:tab/>
        <w:t xml:space="preserve">   </w:t>
      </w:r>
      <w:r>
        <w:rPr>
          <w:rFonts w:ascii="Arial" w:hAnsi="Arial" w:cs="Arial"/>
          <w:b/>
          <w:bCs/>
        </w:rPr>
        <w:t>15</w:t>
      </w:r>
      <w:r w:rsidR="00B724DA">
        <w:rPr>
          <w:rFonts w:ascii="Arial" w:hAnsi="Arial" w:cs="Arial"/>
          <w:b/>
          <w:bCs/>
        </w:rPr>
        <w:t>%</w:t>
      </w:r>
    </w:p>
    <w:p w:rsidR="006F7903" w:rsidRDefault="006F7903">
      <w:pPr>
        <w:widowControl w:val="0"/>
        <w:ind w:left="720" w:firstLine="360"/>
        <w:rPr>
          <w:rFonts w:ascii="Arial" w:hAnsi="Arial" w:cs="Arial"/>
          <w:bCs/>
        </w:rPr>
      </w:pPr>
      <w:r>
        <w:rPr>
          <w:rFonts w:ascii="Arial" w:hAnsi="Arial" w:cs="Arial"/>
          <w:bCs/>
        </w:rPr>
        <w:t>Natural Resources</w:t>
      </w:r>
    </w:p>
    <w:p w:rsidR="00B724DA" w:rsidRDefault="006F7903">
      <w:pPr>
        <w:widowControl w:val="0"/>
        <w:ind w:left="720" w:firstLine="360"/>
        <w:rPr>
          <w:rFonts w:ascii="Arial" w:hAnsi="Arial" w:cs="Arial"/>
          <w:bCs/>
        </w:rPr>
      </w:pPr>
      <w:r>
        <w:rPr>
          <w:rFonts w:ascii="Arial" w:hAnsi="Arial" w:cs="Arial"/>
          <w:bCs/>
        </w:rPr>
        <w:t>Managed Futures and Commodities</w:t>
      </w:r>
      <w:r w:rsidDel="006F7903">
        <w:rPr>
          <w:rFonts w:ascii="Arial" w:hAnsi="Arial" w:cs="Arial"/>
          <w:bCs/>
        </w:rPr>
        <w:t xml:space="preserve"> </w:t>
      </w:r>
      <w:r w:rsidR="00B724DA">
        <w:rPr>
          <w:rFonts w:ascii="Arial" w:hAnsi="Arial" w:cs="Arial"/>
          <w:bCs/>
        </w:rPr>
        <w:tab/>
      </w:r>
      <w:r w:rsidR="00B724DA">
        <w:rPr>
          <w:rFonts w:ascii="Arial" w:hAnsi="Arial" w:cs="Arial"/>
          <w:bCs/>
        </w:rPr>
        <w:tab/>
      </w:r>
      <w:r w:rsidR="00B724DA">
        <w:rPr>
          <w:rFonts w:ascii="Arial" w:hAnsi="Arial" w:cs="Arial"/>
          <w:bCs/>
        </w:rPr>
        <w:tab/>
        <w:t xml:space="preserve">   </w:t>
      </w:r>
    </w:p>
    <w:p w:rsidR="00B724DA" w:rsidRPr="00C73995" w:rsidRDefault="00B724DA">
      <w:pPr>
        <w:widowControl w:val="0"/>
        <w:ind w:firstLine="720"/>
        <w:jc w:val="both"/>
        <w:rPr>
          <w:rFonts w:ascii="Arial" w:hAnsi="Arial" w:cs="Arial"/>
          <w:bCs/>
          <w:sz w:val="8"/>
          <w:szCs w:val="8"/>
        </w:rPr>
      </w:pPr>
    </w:p>
    <w:p w:rsidR="00B724DA" w:rsidRDefault="00B724DA">
      <w:pPr>
        <w:widowControl w:val="0"/>
        <w:ind w:firstLine="720"/>
        <w:jc w:val="both"/>
        <w:rPr>
          <w:rFonts w:ascii="Arial" w:hAnsi="Arial" w:cs="Arial"/>
          <w:b/>
          <w:bCs/>
        </w:rPr>
      </w:pPr>
      <w:r>
        <w:rPr>
          <w:rFonts w:ascii="Arial" w:hAnsi="Arial" w:cs="Arial"/>
          <w:b/>
          <w:bCs/>
        </w:rPr>
        <w:t>Cash &amp; Equivalents</w:t>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u w:val="single"/>
        </w:rPr>
        <w:t>0%</w:t>
      </w:r>
      <w:r>
        <w:rPr>
          <w:rFonts w:ascii="Arial" w:hAnsi="Arial" w:cs="Arial"/>
          <w:b/>
          <w:bCs/>
        </w:rPr>
        <w:tab/>
      </w:r>
      <w:r>
        <w:rPr>
          <w:rFonts w:ascii="Arial" w:hAnsi="Arial" w:cs="Arial"/>
          <w:b/>
          <w:bCs/>
        </w:rPr>
        <w:tab/>
        <w:t xml:space="preserve">   10%</w:t>
      </w:r>
    </w:p>
    <w:p w:rsidR="00B724DA" w:rsidRPr="006F7903" w:rsidRDefault="00B724DA">
      <w:pPr>
        <w:widowControl w:val="0"/>
        <w:jc w:val="both"/>
        <w:rPr>
          <w:rFonts w:ascii="Arial" w:hAnsi="Arial" w:cs="Arial"/>
          <w:b/>
          <w:bCs/>
        </w:rPr>
      </w:pPr>
      <w:r>
        <w:rPr>
          <w:rFonts w:ascii="Arial" w:hAnsi="Arial" w:cs="Arial"/>
          <w:bCs/>
        </w:rPr>
        <w:tab/>
      </w:r>
      <w:r w:rsidRPr="006F7903">
        <w:rPr>
          <w:rFonts w:ascii="Arial" w:hAnsi="Arial" w:cs="Arial"/>
          <w:b/>
          <w:bCs/>
        </w:rPr>
        <w:t>Total</w:t>
      </w:r>
      <w:r w:rsidRPr="006F7903">
        <w:rPr>
          <w:rFonts w:ascii="Arial" w:hAnsi="Arial" w:cs="Arial"/>
          <w:b/>
          <w:bCs/>
        </w:rPr>
        <w:tab/>
      </w:r>
      <w:r w:rsidRPr="006F7903">
        <w:rPr>
          <w:rFonts w:ascii="Arial" w:hAnsi="Arial" w:cs="Arial"/>
          <w:b/>
          <w:bCs/>
        </w:rPr>
        <w:tab/>
      </w:r>
      <w:r w:rsidRPr="006F7903">
        <w:rPr>
          <w:rFonts w:ascii="Arial" w:hAnsi="Arial" w:cs="Arial"/>
          <w:b/>
          <w:bCs/>
        </w:rPr>
        <w:tab/>
      </w:r>
      <w:r w:rsidRPr="006F7903">
        <w:rPr>
          <w:rFonts w:ascii="Arial" w:hAnsi="Arial" w:cs="Arial"/>
          <w:b/>
          <w:bCs/>
        </w:rPr>
        <w:tab/>
      </w:r>
      <w:r w:rsidRPr="006F7903">
        <w:rPr>
          <w:rFonts w:ascii="Arial" w:hAnsi="Arial" w:cs="Arial"/>
          <w:b/>
          <w:bCs/>
        </w:rPr>
        <w:tab/>
      </w:r>
      <w:r w:rsidRPr="006F7903">
        <w:rPr>
          <w:rFonts w:ascii="Arial" w:hAnsi="Arial" w:cs="Arial"/>
          <w:b/>
          <w:bCs/>
        </w:rPr>
        <w:tab/>
        <w:t xml:space="preserve">  100%</w:t>
      </w:r>
    </w:p>
    <w:p w:rsidR="008F3F9F" w:rsidRPr="005B5BE3" w:rsidRDefault="008F3F9F" w:rsidP="005B5BE3">
      <w:pPr>
        <w:pStyle w:val="Heading1"/>
        <w:keepNext w:val="0"/>
        <w:keepLines w:val="0"/>
        <w:widowControl w:val="0"/>
        <w:jc w:val="center"/>
        <w:rPr>
          <w:rFonts w:ascii="Arial" w:hAnsi="Arial" w:cs="Arial"/>
          <w:bCs/>
          <w:color w:val="auto"/>
          <w:sz w:val="32"/>
          <w:u w:val="single"/>
        </w:rPr>
      </w:pPr>
      <w:r>
        <w:rPr>
          <w:rFonts w:ascii="Arial" w:hAnsi="Arial" w:cs="Arial"/>
          <w:bCs/>
          <w:sz w:val="16"/>
          <w:szCs w:val="16"/>
        </w:rPr>
        <w:br w:type="page"/>
      </w:r>
      <w:r w:rsidRPr="00C4578A">
        <w:rPr>
          <w:rFonts w:ascii="Arial" w:hAnsi="Arial" w:cs="Arial"/>
          <w:bCs/>
          <w:color w:val="auto"/>
          <w:sz w:val="32"/>
          <w:u w:val="single"/>
        </w:rPr>
        <w:lastRenderedPageBreak/>
        <w:t xml:space="preserve">Addendum </w:t>
      </w:r>
      <w:r>
        <w:rPr>
          <w:rFonts w:ascii="Arial" w:hAnsi="Arial" w:cs="Arial"/>
          <w:bCs/>
          <w:color w:val="auto"/>
          <w:sz w:val="32"/>
          <w:u w:val="single"/>
        </w:rPr>
        <w:t>B</w:t>
      </w:r>
      <w:r w:rsidR="005B5BE3">
        <w:rPr>
          <w:rFonts w:ascii="Arial" w:hAnsi="Arial" w:cs="Arial"/>
          <w:bCs/>
          <w:color w:val="auto"/>
          <w:sz w:val="32"/>
          <w:u w:val="single"/>
        </w:rPr>
        <w:t xml:space="preserve"> –</w:t>
      </w:r>
      <w:r w:rsidRPr="00C4578A">
        <w:rPr>
          <w:rFonts w:ascii="Arial" w:hAnsi="Arial" w:cs="Arial"/>
          <w:bCs/>
          <w:color w:val="auto"/>
          <w:sz w:val="32"/>
          <w:u w:val="single"/>
        </w:rPr>
        <w:t xml:space="preserve"> </w:t>
      </w:r>
      <w:r>
        <w:rPr>
          <w:rFonts w:ascii="Arial" w:hAnsi="Arial" w:cs="Arial"/>
          <w:color w:val="auto"/>
          <w:sz w:val="32"/>
          <w:u w:val="single"/>
        </w:rPr>
        <w:t>Socially Responsible</w:t>
      </w:r>
      <w:r w:rsidRPr="00C4578A">
        <w:rPr>
          <w:rFonts w:ascii="Arial" w:hAnsi="Arial" w:cs="Arial"/>
          <w:color w:val="auto"/>
          <w:sz w:val="32"/>
          <w:u w:val="single"/>
        </w:rPr>
        <w:t xml:space="preserve"> Pool</w:t>
      </w:r>
      <w:r w:rsidRPr="00C4578A">
        <w:rPr>
          <w:rFonts w:ascii="Arial" w:hAnsi="Arial" w:cs="Arial"/>
          <w:bCs/>
          <w:color w:val="auto"/>
          <w:sz w:val="32"/>
          <w:u w:val="single"/>
        </w:rPr>
        <w:t xml:space="preserve"> Guidelines</w:t>
      </w:r>
    </w:p>
    <w:p w:rsidR="008F3F9F" w:rsidRPr="00EC04DA" w:rsidRDefault="008F3F9F" w:rsidP="008F3F9F">
      <w:pPr>
        <w:widowControl w:val="0"/>
        <w:jc w:val="center"/>
        <w:rPr>
          <w:rFonts w:ascii="Arial" w:hAnsi="Arial" w:cs="Arial"/>
          <w:sz w:val="20"/>
          <w:szCs w:val="20"/>
        </w:rPr>
      </w:pPr>
    </w:p>
    <w:p w:rsidR="008F3F9F" w:rsidRDefault="008F3F9F" w:rsidP="008F3F9F">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spacing w:val="-3"/>
        </w:rPr>
      </w:pPr>
      <w:r>
        <w:rPr>
          <w:rFonts w:ascii="Arial" w:hAnsi="Arial" w:cs="Arial"/>
          <w:b/>
          <w:spacing w:val="-3"/>
        </w:rPr>
        <w:t>Type of Funds:</w:t>
      </w:r>
      <w:r>
        <w:rPr>
          <w:rFonts w:ascii="Arial" w:hAnsi="Arial" w:cs="Arial"/>
          <w:b/>
          <w:spacing w:val="-3"/>
        </w:rPr>
        <w:tab/>
      </w:r>
      <w:r>
        <w:rPr>
          <w:rFonts w:ascii="Arial" w:hAnsi="Arial" w:cs="Arial"/>
          <w:spacing w:val="-3"/>
        </w:rPr>
        <w:t>Endowment</w:t>
      </w:r>
    </w:p>
    <w:p w:rsidR="008F3F9F" w:rsidRDefault="008F3F9F" w:rsidP="008F3F9F">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color w:val="000000"/>
          <w:spacing w:val="-3"/>
        </w:rPr>
      </w:pPr>
      <w:r>
        <w:rPr>
          <w:rFonts w:ascii="Arial" w:hAnsi="Arial" w:cs="Arial"/>
          <w:b/>
          <w:spacing w:val="-3"/>
        </w:rPr>
        <w:t>Time Horizon:</w:t>
      </w:r>
      <w:r>
        <w:rPr>
          <w:rFonts w:ascii="Arial" w:hAnsi="Arial" w:cs="Arial"/>
          <w:b/>
          <w:spacing w:val="-3"/>
        </w:rPr>
        <w:tab/>
      </w:r>
      <w:r>
        <w:rPr>
          <w:rFonts w:ascii="Arial" w:hAnsi="Arial" w:cs="Arial"/>
          <w:color w:val="000000"/>
          <w:spacing w:val="-3"/>
        </w:rPr>
        <w:t>Perpetuity</w:t>
      </w:r>
    </w:p>
    <w:p w:rsidR="008F3F9F" w:rsidRDefault="008F3F9F" w:rsidP="008F3F9F">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b/>
          <w:color w:val="000000"/>
          <w:spacing w:val="-3"/>
        </w:rPr>
      </w:pPr>
      <w:r>
        <w:rPr>
          <w:rFonts w:ascii="Arial" w:hAnsi="Arial" w:cs="Arial"/>
          <w:b/>
          <w:color w:val="000000"/>
          <w:spacing w:val="-3"/>
        </w:rPr>
        <w:t>Investment Horizon:</w:t>
      </w:r>
      <w:r>
        <w:rPr>
          <w:rFonts w:ascii="Arial" w:hAnsi="Arial" w:cs="Arial"/>
          <w:b/>
          <w:color w:val="000000"/>
          <w:spacing w:val="-3"/>
        </w:rPr>
        <w:tab/>
      </w:r>
      <w:r>
        <w:rPr>
          <w:rFonts w:ascii="Arial" w:hAnsi="Arial" w:cs="Arial"/>
          <w:color w:val="000000"/>
          <w:spacing w:val="-3"/>
        </w:rPr>
        <w:t>20 Years and/or a full economic business cycle</w:t>
      </w:r>
    </w:p>
    <w:p w:rsidR="008F3F9F" w:rsidRDefault="008F3F9F" w:rsidP="008F3F9F">
      <w:pPr>
        <w:widowControl w:val="0"/>
        <w:numPr>
          <w:ilvl w:val="12"/>
          <w:numId w:val="0"/>
        </w:numPr>
        <w:tabs>
          <w:tab w:val="center" w:pos="-720"/>
          <w:tab w:val="left" w:pos="2880"/>
          <w:tab w:val="left" w:pos="4140"/>
          <w:tab w:val="center" w:pos="4680"/>
        </w:tabs>
        <w:suppressAutoHyphens/>
        <w:ind w:left="2880" w:right="360" w:hanging="2880"/>
        <w:rPr>
          <w:rFonts w:ascii="Arial" w:hAnsi="Arial" w:cs="Arial"/>
          <w:b/>
          <w:spacing w:val="-3"/>
        </w:rPr>
      </w:pPr>
      <w:r>
        <w:rPr>
          <w:rFonts w:ascii="Arial" w:hAnsi="Arial" w:cs="Arial"/>
          <w:b/>
          <w:spacing w:val="-3"/>
        </w:rPr>
        <w:t>Investment Objective</w:t>
      </w:r>
    </w:p>
    <w:p w:rsidR="008F3F9F" w:rsidRDefault="008F3F9F" w:rsidP="008F3F9F">
      <w:pPr>
        <w:widowControl w:val="0"/>
        <w:numPr>
          <w:ilvl w:val="12"/>
          <w:numId w:val="0"/>
        </w:numPr>
        <w:tabs>
          <w:tab w:val="center" w:pos="-720"/>
          <w:tab w:val="left" w:pos="2880"/>
          <w:tab w:val="left" w:pos="4140"/>
          <w:tab w:val="center" w:pos="4680"/>
        </w:tabs>
        <w:suppressAutoHyphens/>
        <w:ind w:left="2880" w:right="360" w:hanging="2880"/>
        <w:rPr>
          <w:rFonts w:ascii="Arial" w:hAnsi="Arial" w:cs="Arial"/>
          <w:bCs/>
        </w:rPr>
      </w:pPr>
      <w:r>
        <w:rPr>
          <w:rFonts w:ascii="Arial" w:hAnsi="Arial" w:cs="Arial"/>
          <w:b/>
          <w:spacing w:val="-3"/>
        </w:rPr>
        <w:t>Real Return Target:</w:t>
      </w:r>
      <w:r>
        <w:rPr>
          <w:rFonts w:ascii="Arial" w:hAnsi="Arial" w:cs="Arial"/>
          <w:b/>
          <w:spacing w:val="-3"/>
        </w:rPr>
        <w:tab/>
      </w:r>
      <w:r>
        <w:rPr>
          <w:rFonts w:ascii="Arial" w:hAnsi="Arial" w:cs="Arial"/>
          <w:spacing w:val="-3"/>
        </w:rPr>
        <w:t xml:space="preserve">CPI + </w:t>
      </w:r>
      <w:r>
        <w:rPr>
          <w:rFonts w:ascii="Arial" w:hAnsi="Arial" w:cs="Arial"/>
          <w:color w:val="000000"/>
          <w:spacing w:val="-3"/>
        </w:rPr>
        <w:t>5.50% (</w:t>
      </w:r>
      <w:r>
        <w:rPr>
          <w:rFonts w:ascii="Arial" w:hAnsi="Arial" w:cs="Arial"/>
          <w:spacing w:val="-3"/>
        </w:rPr>
        <w:t>net of all investment expenses)</w:t>
      </w:r>
    </w:p>
    <w:p w:rsidR="008F3F9F" w:rsidRDefault="008F3F9F" w:rsidP="008F3F9F">
      <w:pPr>
        <w:pStyle w:val="BodyText3"/>
        <w:keepNext w:val="0"/>
        <w:keepLines w:val="0"/>
        <w:widowControl w:val="0"/>
        <w:tabs>
          <w:tab w:val="clear" w:pos="2520"/>
          <w:tab w:val="left" w:pos="2880"/>
        </w:tabs>
        <w:spacing w:before="120" w:after="120"/>
        <w:ind w:left="2880" w:hanging="2880"/>
        <w:rPr>
          <w:rFonts w:ascii="Arial" w:hAnsi="Arial" w:cs="Arial"/>
        </w:rPr>
      </w:pPr>
      <w:r>
        <w:rPr>
          <w:rFonts w:ascii="Arial" w:hAnsi="Arial" w:cs="Arial"/>
          <w:b/>
        </w:rPr>
        <w:t>Spending Policy:</w:t>
      </w:r>
      <w:r>
        <w:rPr>
          <w:rFonts w:ascii="Arial" w:hAnsi="Arial" w:cs="Arial"/>
          <w:b/>
        </w:rPr>
        <w:tab/>
      </w:r>
      <w:r>
        <w:rPr>
          <w:rFonts w:ascii="Arial" w:hAnsi="Arial" w:cs="Arial"/>
        </w:rPr>
        <w:t>Spending rate of 4% plus an Administrative Expense Rate of 1.50%</w:t>
      </w:r>
    </w:p>
    <w:p w:rsidR="008F3F9F" w:rsidRDefault="008F3F9F" w:rsidP="008F3F9F">
      <w:pPr>
        <w:widowControl w:val="0"/>
        <w:jc w:val="both"/>
        <w:rPr>
          <w:rFonts w:ascii="Arial" w:hAnsi="Arial" w:cs="Arial"/>
          <w:bCs/>
        </w:rPr>
      </w:pPr>
      <w:r>
        <w:rPr>
          <w:rFonts w:ascii="Arial" w:hAnsi="Arial" w:cs="Arial"/>
          <w:bCs/>
        </w:rPr>
        <w:t xml:space="preserve">The Spending Policy (4% </w:t>
      </w:r>
      <w:proofErr w:type="gramStart"/>
      <w:r>
        <w:rPr>
          <w:rFonts w:ascii="Arial" w:hAnsi="Arial" w:cs="Arial"/>
          <w:bCs/>
        </w:rPr>
        <w:t>Spending</w:t>
      </w:r>
      <w:proofErr w:type="gramEnd"/>
      <w:r>
        <w:rPr>
          <w:rFonts w:ascii="Arial" w:hAnsi="Arial" w:cs="Arial"/>
          <w:bCs/>
        </w:rPr>
        <w:t xml:space="preserve"> + 1.50% Administrative Expense) based on a trailing 12-quarter moving average of each component fund’s market valuation.</w:t>
      </w:r>
    </w:p>
    <w:p w:rsidR="008F3F9F" w:rsidRDefault="008F3F9F" w:rsidP="008F3F9F">
      <w:pPr>
        <w:widowControl w:val="0"/>
        <w:jc w:val="both"/>
        <w:rPr>
          <w:rFonts w:ascii="Arial" w:hAnsi="Arial" w:cs="Arial"/>
          <w:sz w:val="16"/>
          <w:szCs w:val="16"/>
        </w:rPr>
      </w:pPr>
    </w:p>
    <w:p w:rsidR="008F3F9F" w:rsidRDefault="008F3F9F" w:rsidP="008F3F9F">
      <w:pPr>
        <w:widowControl w:val="0"/>
        <w:numPr>
          <w:ilvl w:val="12"/>
          <w:numId w:val="0"/>
        </w:numPr>
        <w:tabs>
          <w:tab w:val="center" w:pos="-720"/>
          <w:tab w:val="left" w:pos="2880"/>
          <w:tab w:val="left" w:pos="4140"/>
          <w:tab w:val="center" w:pos="4680"/>
        </w:tabs>
        <w:suppressAutoHyphens/>
        <w:spacing w:before="120" w:after="120"/>
        <w:ind w:left="2880" w:right="360" w:hanging="2880"/>
        <w:rPr>
          <w:rFonts w:ascii="Arial" w:hAnsi="Arial" w:cs="Arial"/>
          <w:bCs/>
        </w:rPr>
      </w:pPr>
      <w:r>
        <w:rPr>
          <w:rFonts w:ascii="Arial" w:hAnsi="Arial" w:cs="Arial"/>
          <w:b/>
          <w:bCs/>
        </w:rPr>
        <w:t>Risk Benchmark:</w:t>
      </w:r>
      <w:r>
        <w:rPr>
          <w:rFonts w:ascii="Arial" w:hAnsi="Arial" w:cs="Arial"/>
          <w:b/>
          <w:bCs/>
        </w:rPr>
        <w:tab/>
      </w:r>
      <w:r>
        <w:rPr>
          <w:rFonts w:ascii="Arial" w:hAnsi="Arial" w:cs="Arial"/>
          <w:bCs/>
        </w:rPr>
        <w:t>70% S&amp;P 500/ 30% BC Aggregate.</w:t>
      </w:r>
    </w:p>
    <w:p w:rsidR="008F3F9F" w:rsidRDefault="008F3F9F" w:rsidP="008F3F9F">
      <w:pPr>
        <w:widowControl w:val="0"/>
        <w:jc w:val="both"/>
        <w:rPr>
          <w:rFonts w:ascii="Arial" w:hAnsi="Arial" w:cs="Arial"/>
        </w:rPr>
      </w:pPr>
      <w:r>
        <w:rPr>
          <w:rFonts w:ascii="Arial" w:hAnsi="Arial" w:cs="Arial"/>
          <w:bCs/>
        </w:rPr>
        <w:t>Total portfolio target risk band is ±20% of the risk associated with the risk benchmark listed above.  Total risk will be measured by the volatility (standard deviation) of expected and/or actual investment returns.</w:t>
      </w:r>
    </w:p>
    <w:p w:rsidR="008F3F9F" w:rsidRDefault="008F3F9F" w:rsidP="008F3F9F">
      <w:pPr>
        <w:widowControl w:val="0"/>
        <w:jc w:val="both"/>
        <w:rPr>
          <w:rFonts w:ascii="Arial" w:hAnsi="Arial" w:cs="Arial"/>
          <w:sz w:val="16"/>
          <w:szCs w:val="16"/>
        </w:rPr>
      </w:pPr>
    </w:p>
    <w:p w:rsidR="008F3F9F" w:rsidRDefault="008F3F9F" w:rsidP="008F3F9F">
      <w:pPr>
        <w:widowControl w:val="0"/>
        <w:jc w:val="both"/>
        <w:rPr>
          <w:rFonts w:ascii="Arial" w:hAnsi="Arial" w:cs="Arial"/>
          <w:b/>
          <w:bCs/>
        </w:rPr>
      </w:pPr>
      <w:r>
        <w:rPr>
          <w:rFonts w:ascii="Arial" w:hAnsi="Arial" w:cs="Arial"/>
          <w:b/>
          <w:bCs/>
        </w:rPr>
        <w:t>Asset Allocation Guidelines:</w:t>
      </w:r>
    </w:p>
    <w:p w:rsidR="008F3F9F" w:rsidRDefault="008F3F9F" w:rsidP="008F3F9F">
      <w:pPr>
        <w:widowControl w:val="0"/>
        <w:jc w:val="both"/>
        <w:rPr>
          <w:rFonts w:ascii="Arial" w:hAnsi="Arial" w:cs="Arial"/>
          <w:bCs/>
        </w:rPr>
      </w:pPr>
      <w:r>
        <w:rPr>
          <w:rFonts w:ascii="Arial" w:hAnsi="Arial" w:cs="Arial"/>
          <w:bCs/>
        </w:rPr>
        <w:t xml:space="preserve">The diversification of the investment assets shall be in accordance with the long-term strategic asset allocation parameters set below.  The sub-asset class targets will be managed by the Investment Management Consultant’s recommendations for the Investment Advisory Committee’s approval.  This allows for short to intermediate-term adjustments to the long-term strategic target allocations in light of the current market environment.  </w:t>
      </w:r>
    </w:p>
    <w:p w:rsidR="008F3F9F" w:rsidRDefault="008F3F9F" w:rsidP="008F3F9F">
      <w:pPr>
        <w:widowControl w:val="0"/>
        <w:jc w:val="both"/>
        <w:rPr>
          <w:rFonts w:ascii="Arial" w:hAnsi="Arial" w:cs="Arial"/>
          <w:bCs/>
        </w:rPr>
      </w:pPr>
    </w:p>
    <w:p w:rsidR="008F3F9F" w:rsidRPr="00281D5A" w:rsidRDefault="008F3F9F" w:rsidP="008F3F9F">
      <w:pPr>
        <w:widowControl w:val="0"/>
        <w:jc w:val="both"/>
        <w:rPr>
          <w:rFonts w:ascii="Arial" w:hAnsi="Arial" w:cs="Arial"/>
          <w:bCs/>
        </w:rPr>
      </w:pPr>
      <w:r w:rsidRPr="00281D5A">
        <w:rPr>
          <w:rFonts w:ascii="Arial" w:hAnsi="Arial" w:cs="Arial"/>
          <w:bCs/>
        </w:rPr>
        <w:t>While the social criteria used for screening companies for investments in the SRI pool will vary somewhat from manager to manager</w:t>
      </w:r>
      <w:r>
        <w:rPr>
          <w:rFonts w:ascii="Arial" w:hAnsi="Arial" w:cs="Arial"/>
          <w:bCs/>
        </w:rPr>
        <w:t>,</w:t>
      </w:r>
      <w:r w:rsidRPr="00281D5A">
        <w:rPr>
          <w:rFonts w:ascii="Arial" w:hAnsi="Arial" w:cs="Arial"/>
          <w:bCs/>
        </w:rPr>
        <w:t xml:space="preserve"> there will be a focus on companies which have a positive impact on the environment, human rights and employment issues, corporate governance and community investing. Exclusionary screens may include restriction or avoidance of companies involved in weapons, animal testing, nuclear power, alcohol, </w:t>
      </w:r>
      <w:proofErr w:type="gramStart"/>
      <w:r w:rsidRPr="00281D5A">
        <w:rPr>
          <w:rFonts w:ascii="Arial" w:hAnsi="Arial" w:cs="Arial"/>
          <w:bCs/>
        </w:rPr>
        <w:t>tobacco</w:t>
      </w:r>
      <w:proofErr w:type="gramEnd"/>
      <w:r w:rsidRPr="00281D5A">
        <w:rPr>
          <w:rFonts w:ascii="Arial" w:hAnsi="Arial" w:cs="Arial"/>
          <w:bCs/>
        </w:rPr>
        <w:t xml:space="preserve"> and gambling.  </w:t>
      </w:r>
    </w:p>
    <w:p w:rsidR="008F3F9F" w:rsidRDefault="008F3F9F" w:rsidP="008F3F9F">
      <w:pPr>
        <w:widowControl w:val="0"/>
        <w:jc w:val="both"/>
        <w:rPr>
          <w:rFonts w:ascii="Arial" w:hAnsi="Arial" w:cs="Arial"/>
          <w:b/>
          <w:bCs/>
        </w:rPr>
      </w:pPr>
      <w:r>
        <w:rPr>
          <w:rFonts w:ascii="Arial" w:hAnsi="Arial" w:cs="Arial"/>
          <w:b/>
          <w:bCs/>
        </w:rPr>
        <w:tab/>
      </w:r>
      <w:r>
        <w:rPr>
          <w:rFonts w:ascii="Arial" w:hAnsi="Arial" w:cs="Arial"/>
          <w:b/>
          <w:bCs/>
        </w:rPr>
        <w:tab/>
      </w:r>
    </w:p>
    <w:p w:rsidR="008F3F9F" w:rsidRDefault="008F3F9F" w:rsidP="008F3F9F">
      <w:pPr>
        <w:widowControl w:val="0"/>
        <w:jc w:val="both"/>
        <w:rPr>
          <w:rFonts w:ascii="Arial" w:hAnsi="Arial" w:cs="Arial"/>
          <w:b/>
          <w:bCs/>
        </w:rPr>
      </w:pPr>
    </w:p>
    <w:p w:rsidR="008F3F9F" w:rsidRDefault="008F3F9F" w:rsidP="008F3F9F">
      <w:pPr>
        <w:widowControl w:val="0"/>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L-T Target</w:t>
      </w:r>
      <w:r>
        <w:rPr>
          <w:rFonts w:ascii="Arial" w:hAnsi="Arial" w:cs="Arial"/>
          <w:b/>
          <w:bCs/>
        </w:rPr>
        <w:tab/>
        <w:t>Maximum</w:t>
      </w:r>
    </w:p>
    <w:p w:rsidR="008F3F9F" w:rsidRDefault="008F3F9F" w:rsidP="008F3F9F">
      <w:pPr>
        <w:widowControl w:val="0"/>
        <w:ind w:firstLine="720"/>
        <w:jc w:val="both"/>
        <w:rPr>
          <w:rFonts w:ascii="Arial" w:hAnsi="Arial" w:cs="Arial"/>
          <w:b/>
          <w:bCs/>
        </w:rPr>
      </w:pPr>
      <w:r>
        <w:rPr>
          <w:rFonts w:ascii="Arial" w:hAnsi="Arial" w:cs="Arial"/>
          <w:b/>
          <w:bCs/>
          <w:u w:val="single"/>
        </w:rPr>
        <w:t>Asset Class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Allocation</w:t>
      </w:r>
      <w:r>
        <w:rPr>
          <w:rFonts w:ascii="Arial" w:hAnsi="Arial" w:cs="Arial"/>
          <w:b/>
          <w:bCs/>
        </w:rPr>
        <w:tab/>
      </w:r>
      <w:proofErr w:type="spellStart"/>
      <w:r>
        <w:rPr>
          <w:rFonts w:ascii="Arial" w:hAnsi="Arial" w:cs="Arial"/>
          <w:b/>
          <w:bCs/>
          <w:u w:val="single"/>
        </w:rPr>
        <w:t>Allocation</w:t>
      </w:r>
      <w:proofErr w:type="spellEnd"/>
    </w:p>
    <w:p w:rsidR="008F3F9F" w:rsidRDefault="008F3F9F" w:rsidP="008F3F9F">
      <w:pPr>
        <w:widowControl w:val="0"/>
        <w:ind w:firstLine="720"/>
        <w:jc w:val="both"/>
        <w:rPr>
          <w:rFonts w:ascii="Arial" w:hAnsi="Arial" w:cs="Arial"/>
          <w:b/>
          <w:bCs/>
        </w:rPr>
      </w:pPr>
      <w:r>
        <w:rPr>
          <w:rFonts w:ascii="Arial" w:hAnsi="Arial" w:cs="Arial"/>
          <w:b/>
          <w:bCs/>
        </w:rPr>
        <w:t>Public Equity</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70%</w:t>
      </w:r>
      <w:r>
        <w:rPr>
          <w:rFonts w:ascii="Arial" w:hAnsi="Arial" w:cs="Arial"/>
          <w:b/>
          <w:bCs/>
        </w:rPr>
        <w:tab/>
        <w:t xml:space="preserve">   </w:t>
      </w:r>
      <w:r>
        <w:rPr>
          <w:rFonts w:ascii="Arial" w:hAnsi="Arial" w:cs="Arial"/>
          <w:b/>
          <w:bCs/>
        </w:rPr>
        <w:tab/>
        <w:t xml:space="preserve">   85%</w:t>
      </w:r>
    </w:p>
    <w:p w:rsidR="008F3F9F" w:rsidRDefault="008F3F9F" w:rsidP="008F3F9F">
      <w:pPr>
        <w:widowControl w:val="0"/>
        <w:ind w:left="720" w:firstLine="360"/>
        <w:rPr>
          <w:rFonts w:ascii="Arial" w:hAnsi="Arial" w:cs="Arial"/>
          <w:bCs/>
        </w:rPr>
      </w:pPr>
      <w:r>
        <w:rPr>
          <w:rFonts w:ascii="Arial" w:hAnsi="Arial" w:cs="Arial"/>
          <w:bCs/>
        </w:rPr>
        <w:t>US Equity – All Cap/Large Cap</w:t>
      </w:r>
      <w:r>
        <w:rPr>
          <w:rFonts w:ascii="Arial" w:hAnsi="Arial" w:cs="Arial"/>
          <w:bCs/>
        </w:rPr>
        <w:tab/>
      </w:r>
      <w:r>
        <w:rPr>
          <w:rFonts w:ascii="Arial" w:hAnsi="Arial" w:cs="Arial"/>
          <w:bCs/>
        </w:rPr>
        <w:tab/>
      </w:r>
      <w:r>
        <w:rPr>
          <w:rFonts w:ascii="Arial" w:hAnsi="Arial" w:cs="Arial"/>
          <w:bCs/>
        </w:rPr>
        <w:tab/>
        <w:t xml:space="preserve">   60%</w:t>
      </w:r>
    </w:p>
    <w:p w:rsidR="008F3F9F" w:rsidRDefault="008F3F9F" w:rsidP="008F3F9F">
      <w:pPr>
        <w:widowControl w:val="0"/>
        <w:ind w:left="720" w:firstLine="360"/>
        <w:rPr>
          <w:rFonts w:ascii="Arial" w:hAnsi="Arial" w:cs="Arial"/>
          <w:bCs/>
        </w:rPr>
      </w:pPr>
      <w:r>
        <w:rPr>
          <w:rFonts w:ascii="Arial" w:hAnsi="Arial" w:cs="Arial"/>
          <w:bCs/>
        </w:rPr>
        <w:t>US Equity – Small/Mid Cap</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20%</w:t>
      </w:r>
    </w:p>
    <w:p w:rsidR="008F3F9F" w:rsidRDefault="008F3F9F" w:rsidP="008F3F9F">
      <w:pPr>
        <w:widowControl w:val="0"/>
        <w:ind w:left="720" w:firstLine="360"/>
        <w:rPr>
          <w:rFonts w:ascii="Arial" w:hAnsi="Arial" w:cs="Arial"/>
          <w:bCs/>
        </w:rPr>
      </w:pPr>
      <w:smartTag w:uri="urn:schemas-microsoft-com:office:smarttags" w:element="PersonName">
        <w:r>
          <w:rPr>
            <w:rFonts w:ascii="Arial" w:hAnsi="Arial" w:cs="Arial"/>
            <w:bCs/>
          </w:rPr>
          <w:t>Intern</w:t>
        </w:r>
      </w:smartTag>
      <w:r>
        <w:rPr>
          <w:rFonts w:ascii="Arial" w:hAnsi="Arial" w:cs="Arial"/>
          <w:bCs/>
        </w:rPr>
        <w:t>ational Equity – Developed</w:t>
      </w:r>
      <w:r>
        <w:rPr>
          <w:rFonts w:ascii="Arial" w:hAnsi="Arial" w:cs="Arial"/>
          <w:bCs/>
        </w:rPr>
        <w:tab/>
      </w:r>
      <w:r>
        <w:rPr>
          <w:rFonts w:ascii="Arial" w:hAnsi="Arial" w:cs="Arial"/>
          <w:bCs/>
        </w:rPr>
        <w:tab/>
      </w:r>
      <w:r>
        <w:rPr>
          <w:rFonts w:ascii="Arial" w:hAnsi="Arial" w:cs="Arial"/>
          <w:bCs/>
        </w:rPr>
        <w:tab/>
        <w:t xml:space="preserve">   45%</w:t>
      </w:r>
    </w:p>
    <w:p w:rsidR="008F3F9F" w:rsidRPr="00EC04DA" w:rsidRDefault="008F3F9F" w:rsidP="008F3F9F">
      <w:pPr>
        <w:widowControl w:val="0"/>
        <w:ind w:left="720"/>
        <w:rPr>
          <w:rFonts w:ascii="Arial" w:hAnsi="Arial" w:cs="Arial"/>
          <w:bCs/>
          <w:sz w:val="20"/>
          <w:szCs w:val="20"/>
        </w:rPr>
      </w:pPr>
    </w:p>
    <w:p w:rsidR="008F3F9F" w:rsidRDefault="008F3F9F" w:rsidP="008F3F9F">
      <w:pPr>
        <w:widowControl w:val="0"/>
        <w:ind w:left="720"/>
        <w:rPr>
          <w:rFonts w:ascii="Arial" w:hAnsi="Arial" w:cs="Arial"/>
          <w:b/>
          <w:bCs/>
        </w:rPr>
      </w:pPr>
      <w:r>
        <w:rPr>
          <w:rFonts w:ascii="Arial" w:hAnsi="Arial" w:cs="Arial"/>
          <w:b/>
          <w:bCs/>
        </w:rPr>
        <w:t>Fixed Income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30%</w:t>
      </w:r>
      <w:r>
        <w:rPr>
          <w:rFonts w:ascii="Arial" w:hAnsi="Arial" w:cs="Arial"/>
          <w:b/>
          <w:bCs/>
        </w:rPr>
        <w:tab/>
      </w:r>
      <w:r>
        <w:rPr>
          <w:rFonts w:ascii="Arial" w:hAnsi="Arial" w:cs="Arial"/>
          <w:b/>
          <w:bCs/>
        </w:rPr>
        <w:tab/>
        <w:t xml:space="preserve">   45%</w:t>
      </w:r>
    </w:p>
    <w:p w:rsidR="008F3F9F" w:rsidRPr="00EC04DA" w:rsidRDefault="008F3F9F" w:rsidP="008F3F9F">
      <w:pPr>
        <w:widowControl w:val="0"/>
        <w:ind w:left="720" w:firstLine="360"/>
        <w:rPr>
          <w:rFonts w:ascii="Arial" w:hAnsi="Arial" w:cs="Arial"/>
          <w:bCs/>
          <w:sz w:val="20"/>
          <w:szCs w:val="20"/>
        </w:rPr>
      </w:pPr>
      <w:r>
        <w:rPr>
          <w:rFonts w:ascii="Arial" w:hAnsi="Arial" w:cs="Arial"/>
          <w:bCs/>
        </w:rPr>
        <w:t xml:space="preserve">   </w:t>
      </w:r>
    </w:p>
    <w:p w:rsidR="008F3F9F" w:rsidRDefault="008F3F9F" w:rsidP="008F3F9F">
      <w:pPr>
        <w:widowControl w:val="0"/>
        <w:ind w:firstLine="720"/>
        <w:jc w:val="both"/>
        <w:rPr>
          <w:rFonts w:ascii="Arial" w:hAnsi="Arial" w:cs="Arial"/>
          <w:b/>
          <w:bCs/>
        </w:rPr>
      </w:pPr>
      <w:r>
        <w:rPr>
          <w:rFonts w:ascii="Arial" w:hAnsi="Arial" w:cs="Arial"/>
          <w:b/>
          <w:bCs/>
        </w:rPr>
        <w:t>Cash &amp; Equivalents</w:t>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u w:val="single"/>
        </w:rPr>
        <w:t>0%</w:t>
      </w:r>
      <w:r>
        <w:rPr>
          <w:rFonts w:ascii="Arial" w:hAnsi="Arial" w:cs="Arial"/>
          <w:b/>
          <w:bCs/>
        </w:rPr>
        <w:tab/>
      </w:r>
      <w:r>
        <w:rPr>
          <w:rFonts w:ascii="Arial" w:hAnsi="Arial" w:cs="Arial"/>
          <w:b/>
          <w:bCs/>
        </w:rPr>
        <w:tab/>
        <w:t xml:space="preserve">   10%</w:t>
      </w:r>
    </w:p>
    <w:p w:rsidR="008F3F9F" w:rsidRDefault="008F3F9F" w:rsidP="008F3F9F">
      <w:pPr>
        <w:widowControl w:val="0"/>
        <w:jc w:val="both"/>
        <w:rPr>
          <w:rFonts w:ascii="Arial" w:hAnsi="Arial" w:cs="Arial"/>
          <w:b/>
          <w:bCs/>
        </w:rPr>
      </w:pPr>
      <w:r>
        <w:rPr>
          <w:rFonts w:ascii="Arial" w:hAnsi="Arial" w:cs="Arial"/>
          <w:bCs/>
        </w:rPr>
        <w:tab/>
      </w:r>
      <w:r w:rsidRPr="006F7903">
        <w:rPr>
          <w:rFonts w:ascii="Arial" w:hAnsi="Arial" w:cs="Arial"/>
          <w:b/>
          <w:bCs/>
        </w:rPr>
        <w:t>Total</w:t>
      </w:r>
      <w:r w:rsidRPr="006F7903">
        <w:rPr>
          <w:rFonts w:ascii="Arial" w:hAnsi="Arial" w:cs="Arial"/>
          <w:b/>
          <w:bCs/>
        </w:rPr>
        <w:tab/>
      </w:r>
      <w:r w:rsidRPr="006F7903">
        <w:rPr>
          <w:rFonts w:ascii="Arial" w:hAnsi="Arial" w:cs="Arial"/>
          <w:b/>
          <w:bCs/>
        </w:rPr>
        <w:tab/>
      </w:r>
      <w:r w:rsidRPr="006F7903">
        <w:rPr>
          <w:rFonts w:ascii="Arial" w:hAnsi="Arial" w:cs="Arial"/>
          <w:b/>
          <w:bCs/>
        </w:rPr>
        <w:tab/>
      </w:r>
      <w:r w:rsidRPr="006F7903">
        <w:rPr>
          <w:rFonts w:ascii="Arial" w:hAnsi="Arial" w:cs="Arial"/>
          <w:b/>
          <w:bCs/>
        </w:rPr>
        <w:tab/>
      </w:r>
      <w:r w:rsidRPr="006F7903">
        <w:rPr>
          <w:rFonts w:ascii="Arial" w:hAnsi="Arial" w:cs="Arial"/>
          <w:b/>
          <w:bCs/>
        </w:rPr>
        <w:tab/>
      </w:r>
      <w:r w:rsidRPr="006F7903">
        <w:rPr>
          <w:rFonts w:ascii="Arial" w:hAnsi="Arial" w:cs="Arial"/>
          <w:b/>
          <w:bCs/>
        </w:rPr>
        <w:tab/>
        <w:t xml:space="preserve">  100%</w:t>
      </w:r>
      <w:r>
        <w:rPr>
          <w:rFonts w:ascii="Arial" w:hAnsi="Arial" w:cs="Arial"/>
          <w:b/>
          <w:bCs/>
        </w:rPr>
        <w:tab/>
      </w:r>
      <w:r>
        <w:rPr>
          <w:rFonts w:ascii="Arial" w:hAnsi="Arial" w:cs="Arial"/>
          <w:b/>
          <w:bCs/>
        </w:rPr>
        <w:tab/>
      </w:r>
    </w:p>
    <w:p w:rsidR="008F3F9F" w:rsidRDefault="008F3F9F" w:rsidP="008F3F9F">
      <w:pPr>
        <w:rPr>
          <w:rFonts w:ascii="Arial" w:hAnsi="Arial" w:cs="Arial"/>
          <w:bCs/>
        </w:rPr>
      </w:pPr>
    </w:p>
    <w:p w:rsidR="008F3F9F" w:rsidRDefault="008F3F9F" w:rsidP="008F3F9F">
      <w:r>
        <w:rPr>
          <w:rFonts w:ascii="Arial" w:hAnsi="Arial" w:cs="Arial"/>
          <w:bCs/>
        </w:rPr>
        <w:t>Added 6/5/2012</w:t>
      </w:r>
    </w:p>
    <w:p w:rsidR="007D7086" w:rsidRDefault="004B33C8" w:rsidP="007D7086">
      <w:pPr>
        <w:pStyle w:val="Heading1"/>
        <w:keepNext w:val="0"/>
        <w:keepLines w:val="0"/>
        <w:widowControl w:val="0"/>
        <w:jc w:val="center"/>
        <w:rPr>
          <w:rFonts w:ascii="Arial" w:hAnsi="Arial" w:cs="Arial"/>
          <w:color w:val="auto"/>
          <w:sz w:val="32"/>
          <w:u w:val="single"/>
        </w:rPr>
      </w:pPr>
      <w:r>
        <w:rPr>
          <w:rFonts w:ascii="Arial" w:hAnsi="Arial" w:cs="Arial"/>
          <w:bCs/>
          <w:color w:val="auto"/>
          <w:sz w:val="32"/>
          <w:u w:val="single"/>
        </w:rPr>
        <w:lastRenderedPageBreak/>
        <w:t xml:space="preserve">Addendum </w:t>
      </w:r>
      <w:r w:rsidR="008F3F9F">
        <w:rPr>
          <w:rFonts w:ascii="Arial" w:hAnsi="Arial" w:cs="Arial"/>
          <w:bCs/>
          <w:color w:val="auto"/>
          <w:sz w:val="32"/>
          <w:u w:val="single"/>
        </w:rPr>
        <w:t>C</w:t>
      </w:r>
      <w:r>
        <w:rPr>
          <w:rFonts w:ascii="Arial" w:hAnsi="Arial" w:cs="Arial"/>
          <w:bCs/>
          <w:color w:val="auto"/>
          <w:sz w:val="32"/>
          <w:u w:val="single"/>
        </w:rPr>
        <w:t xml:space="preserve"> – Intermediate-</w:t>
      </w:r>
      <w:r w:rsidR="007D7086">
        <w:rPr>
          <w:rFonts w:ascii="Arial" w:hAnsi="Arial" w:cs="Arial"/>
          <w:bCs/>
          <w:color w:val="auto"/>
          <w:sz w:val="32"/>
          <w:u w:val="single"/>
        </w:rPr>
        <w:t>Term Pool</w:t>
      </w:r>
      <w:r w:rsidR="00073B7C">
        <w:rPr>
          <w:rFonts w:ascii="Arial" w:hAnsi="Arial" w:cs="Arial"/>
          <w:bCs/>
          <w:color w:val="auto"/>
          <w:sz w:val="32"/>
          <w:u w:val="single"/>
        </w:rPr>
        <w:t xml:space="preserve"> Guidelines</w:t>
      </w:r>
    </w:p>
    <w:p w:rsidR="007D7086" w:rsidRDefault="007D7086" w:rsidP="007D7086">
      <w:pPr>
        <w:widowControl w:val="0"/>
        <w:jc w:val="center"/>
        <w:rPr>
          <w:rFonts w:ascii="Arial" w:hAnsi="Arial" w:cs="Arial"/>
          <w:sz w:val="20"/>
          <w:szCs w:val="20"/>
        </w:rPr>
      </w:pPr>
    </w:p>
    <w:p w:rsidR="007D7086" w:rsidRDefault="007D7086" w:rsidP="007D7086">
      <w:pPr>
        <w:widowControl w:val="0"/>
        <w:jc w:val="center"/>
        <w:rPr>
          <w:rFonts w:ascii="Arial" w:hAnsi="Arial" w:cs="Arial"/>
          <w:sz w:val="20"/>
          <w:szCs w:val="20"/>
        </w:rPr>
      </w:pPr>
    </w:p>
    <w:p w:rsidR="007D7086" w:rsidRDefault="007D7086" w:rsidP="007D7086">
      <w:pPr>
        <w:widowControl w:val="0"/>
        <w:jc w:val="center"/>
        <w:rPr>
          <w:rFonts w:ascii="Arial" w:hAnsi="Arial" w:cs="Arial"/>
          <w:sz w:val="20"/>
          <w:szCs w:val="20"/>
        </w:rPr>
      </w:pPr>
    </w:p>
    <w:p w:rsidR="007D7086" w:rsidRDefault="007D7086" w:rsidP="007D7086">
      <w:pPr>
        <w:widowControl w:val="0"/>
        <w:numPr>
          <w:ilvl w:val="12"/>
          <w:numId w:val="0"/>
        </w:numPr>
        <w:tabs>
          <w:tab w:val="center" w:pos="-720"/>
          <w:tab w:val="left" w:pos="2880"/>
          <w:tab w:val="left" w:pos="4140"/>
          <w:tab w:val="center" w:pos="4680"/>
        </w:tabs>
        <w:suppressAutoHyphens/>
        <w:ind w:left="2880" w:right="360" w:hanging="2880"/>
        <w:rPr>
          <w:rFonts w:ascii="Arial" w:hAnsi="Arial" w:cs="Arial"/>
          <w:spacing w:val="-3"/>
        </w:rPr>
      </w:pPr>
      <w:r>
        <w:rPr>
          <w:rFonts w:ascii="Arial" w:hAnsi="Arial" w:cs="Arial"/>
          <w:b/>
          <w:spacing w:val="-3"/>
        </w:rPr>
        <w:t>Type of Funds:</w:t>
      </w:r>
      <w:r>
        <w:rPr>
          <w:rFonts w:ascii="Arial" w:hAnsi="Arial" w:cs="Arial"/>
          <w:b/>
          <w:spacing w:val="-3"/>
        </w:rPr>
        <w:tab/>
      </w:r>
      <w:r>
        <w:rPr>
          <w:rFonts w:ascii="Arial" w:hAnsi="Arial" w:cs="Arial"/>
          <w:spacing w:val="-3"/>
        </w:rPr>
        <w:t>Expendable Funds</w:t>
      </w:r>
    </w:p>
    <w:p w:rsidR="007D7086" w:rsidRDefault="007D7086" w:rsidP="007D7086">
      <w:pPr>
        <w:widowControl w:val="0"/>
        <w:numPr>
          <w:ilvl w:val="12"/>
          <w:numId w:val="0"/>
        </w:numPr>
        <w:tabs>
          <w:tab w:val="center" w:pos="-720"/>
          <w:tab w:val="left" w:pos="2880"/>
          <w:tab w:val="left" w:pos="4140"/>
          <w:tab w:val="center" w:pos="4680"/>
        </w:tabs>
        <w:suppressAutoHyphens/>
        <w:ind w:left="2880" w:right="360" w:hanging="2880"/>
        <w:rPr>
          <w:rFonts w:ascii="Arial" w:hAnsi="Arial" w:cs="Arial"/>
          <w:spacing w:val="-3"/>
        </w:rPr>
      </w:pPr>
    </w:p>
    <w:p w:rsidR="007D7086" w:rsidRDefault="007D7086" w:rsidP="007D7086">
      <w:pPr>
        <w:widowControl w:val="0"/>
        <w:numPr>
          <w:ilvl w:val="12"/>
          <w:numId w:val="0"/>
        </w:numPr>
        <w:tabs>
          <w:tab w:val="center" w:pos="-720"/>
          <w:tab w:val="left" w:pos="2880"/>
          <w:tab w:val="left" w:pos="4140"/>
          <w:tab w:val="center" w:pos="4680"/>
        </w:tabs>
        <w:suppressAutoHyphens/>
        <w:ind w:left="2880" w:right="360" w:hanging="2880"/>
        <w:rPr>
          <w:rFonts w:ascii="Arial" w:hAnsi="Arial" w:cs="Arial"/>
          <w:b/>
          <w:spacing w:val="-3"/>
        </w:rPr>
      </w:pPr>
      <w:r>
        <w:rPr>
          <w:rFonts w:ascii="Arial" w:hAnsi="Arial" w:cs="Arial"/>
          <w:b/>
          <w:spacing w:val="-3"/>
        </w:rPr>
        <w:t xml:space="preserve">Investment / </w:t>
      </w:r>
    </w:p>
    <w:p w:rsidR="007D7086" w:rsidRDefault="007D7086" w:rsidP="007D7086">
      <w:pPr>
        <w:widowControl w:val="0"/>
        <w:numPr>
          <w:ilvl w:val="12"/>
          <w:numId w:val="0"/>
        </w:numPr>
        <w:tabs>
          <w:tab w:val="center" w:pos="-720"/>
          <w:tab w:val="left" w:pos="2880"/>
          <w:tab w:val="left" w:pos="4140"/>
          <w:tab w:val="center" w:pos="4680"/>
        </w:tabs>
        <w:suppressAutoHyphens/>
        <w:ind w:left="2880" w:right="360" w:hanging="2880"/>
        <w:rPr>
          <w:rFonts w:ascii="Arial" w:hAnsi="Arial" w:cs="Arial"/>
          <w:color w:val="000000"/>
          <w:spacing w:val="-3"/>
        </w:rPr>
      </w:pPr>
      <w:r>
        <w:rPr>
          <w:rFonts w:ascii="Arial" w:hAnsi="Arial" w:cs="Arial"/>
          <w:b/>
          <w:spacing w:val="-3"/>
        </w:rPr>
        <w:t>Time Horizon:</w:t>
      </w:r>
      <w:r>
        <w:rPr>
          <w:rFonts w:ascii="Arial" w:hAnsi="Arial" w:cs="Arial"/>
          <w:b/>
          <w:spacing w:val="-3"/>
        </w:rPr>
        <w:tab/>
      </w:r>
      <w:r>
        <w:rPr>
          <w:rFonts w:ascii="Arial" w:hAnsi="Arial" w:cs="Arial"/>
          <w:spacing w:val="-3"/>
        </w:rPr>
        <w:t>Investments of intermediate-term duration of 2 to 5 years.</w:t>
      </w:r>
    </w:p>
    <w:p w:rsidR="007D7086" w:rsidRDefault="007D7086" w:rsidP="007D7086">
      <w:pPr>
        <w:widowControl w:val="0"/>
        <w:jc w:val="both"/>
        <w:rPr>
          <w:rFonts w:ascii="Arial" w:hAnsi="Arial" w:cs="Arial"/>
        </w:rPr>
      </w:pPr>
    </w:p>
    <w:p w:rsidR="007D7086" w:rsidRDefault="007D7086" w:rsidP="007D7086">
      <w:pPr>
        <w:widowControl w:val="0"/>
        <w:numPr>
          <w:ilvl w:val="12"/>
          <w:numId w:val="0"/>
        </w:numPr>
        <w:tabs>
          <w:tab w:val="center" w:pos="-720"/>
          <w:tab w:val="left" w:pos="2880"/>
          <w:tab w:val="left" w:pos="4140"/>
          <w:tab w:val="center" w:pos="4680"/>
        </w:tabs>
        <w:suppressAutoHyphens/>
        <w:ind w:left="2880" w:right="360" w:hanging="2880"/>
        <w:rPr>
          <w:rFonts w:ascii="Arial" w:hAnsi="Arial" w:cs="Arial"/>
          <w:b/>
          <w:spacing w:val="-3"/>
        </w:rPr>
      </w:pPr>
      <w:r>
        <w:rPr>
          <w:rFonts w:ascii="Arial" w:hAnsi="Arial" w:cs="Arial"/>
          <w:b/>
          <w:spacing w:val="-3"/>
        </w:rPr>
        <w:t>Investment Objective</w:t>
      </w:r>
    </w:p>
    <w:p w:rsidR="007D7086" w:rsidRDefault="007D7086" w:rsidP="007D7086">
      <w:pPr>
        <w:widowControl w:val="0"/>
        <w:numPr>
          <w:ilvl w:val="12"/>
          <w:numId w:val="0"/>
        </w:numPr>
        <w:tabs>
          <w:tab w:val="center" w:pos="-720"/>
          <w:tab w:val="left" w:pos="2880"/>
          <w:tab w:val="left" w:pos="4140"/>
          <w:tab w:val="center" w:pos="4680"/>
        </w:tabs>
        <w:suppressAutoHyphens/>
        <w:ind w:left="2880" w:right="360" w:hanging="2880"/>
        <w:rPr>
          <w:rFonts w:ascii="Arial" w:hAnsi="Arial" w:cs="Arial"/>
          <w:bCs/>
        </w:rPr>
      </w:pPr>
      <w:r>
        <w:rPr>
          <w:rFonts w:ascii="Arial" w:hAnsi="Arial" w:cs="Arial"/>
          <w:b/>
          <w:spacing w:val="-3"/>
        </w:rPr>
        <w:t>Real Return Target:</w:t>
      </w:r>
      <w:r>
        <w:rPr>
          <w:rFonts w:ascii="Arial" w:hAnsi="Arial" w:cs="Arial"/>
          <w:b/>
          <w:spacing w:val="-3"/>
        </w:rPr>
        <w:tab/>
      </w:r>
      <w:r>
        <w:rPr>
          <w:rFonts w:ascii="Arial" w:hAnsi="Arial" w:cs="Arial"/>
          <w:spacing w:val="-3"/>
        </w:rPr>
        <w:t>Exceeding the 180-day Treasury Bill Index by 2.25%.</w:t>
      </w:r>
    </w:p>
    <w:p w:rsidR="007D7086" w:rsidRDefault="007D7086" w:rsidP="007D7086">
      <w:pPr>
        <w:widowControl w:val="0"/>
        <w:jc w:val="both"/>
        <w:rPr>
          <w:rFonts w:ascii="Arial" w:hAnsi="Arial" w:cs="Arial"/>
        </w:rPr>
      </w:pPr>
    </w:p>
    <w:p w:rsidR="007D7086" w:rsidRDefault="007D7086" w:rsidP="007D7086">
      <w:pPr>
        <w:widowControl w:val="0"/>
        <w:jc w:val="both"/>
        <w:rPr>
          <w:rFonts w:ascii="Arial" w:hAnsi="Arial" w:cs="Arial"/>
        </w:rPr>
      </w:pPr>
      <w:r>
        <w:rPr>
          <w:rFonts w:ascii="Arial" w:hAnsi="Arial" w:cs="Arial"/>
          <w:b/>
        </w:rPr>
        <w:t>Risk Benchmark:</w:t>
      </w:r>
      <w:r>
        <w:rPr>
          <w:rFonts w:ascii="Arial" w:hAnsi="Arial" w:cs="Arial"/>
          <w:b/>
        </w:rPr>
        <w:tab/>
      </w:r>
      <w:r>
        <w:rPr>
          <w:rFonts w:ascii="Arial" w:hAnsi="Arial" w:cs="Arial"/>
          <w:b/>
        </w:rPr>
        <w:tab/>
      </w:r>
      <w:r>
        <w:rPr>
          <w:rFonts w:ascii="Arial" w:hAnsi="Arial" w:cs="Arial"/>
        </w:rPr>
        <w:t>75% World Government Bond Index (WGBI),</w:t>
      </w:r>
    </w:p>
    <w:p w:rsidR="007D7086" w:rsidRDefault="007D7086" w:rsidP="007D7086">
      <w:pPr>
        <w:widowControl w:val="0"/>
        <w:ind w:left="2160" w:firstLine="720"/>
        <w:jc w:val="both"/>
        <w:rPr>
          <w:rFonts w:ascii="Arial" w:hAnsi="Arial" w:cs="Arial"/>
        </w:rPr>
      </w:pPr>
      <w:r>
        <w:rPr>
          <w:rFonts w:ascii="Arial" w:hAnsi="Arial" w:cs="Arial"/>
        </w:rPr>
        <w:t>25% All Country World Index (ACWI)</w:t>
      </w:r>
    </w:p>
    <w:p w:rsidR="007D7086" w:rsidRDefault="007D7086" w:rsidP="007D7086">
      <w:pPr>
        <w:widowControl w:val="0"/>
        <w:jc w:val="both"/>
        <w:rPr>
          <w:rFonts w:ascii="Arial" w:hAnsi="Arial" w:cs="Arial"/>
        </w:rPr>
      </w:pPr>
    </w:p>
    <w:p w:rsidR="007D7086" w:rsidRDefault="007D7086" w:rsidP="007D7086">
      <w:pPr>
        <w:widowControl w:val="0"/>
        <w:jc w:val="both"/>
        <w:rPr>
          <w:rFonts w:ascii="Arial" w:hAnsi="Arial" w:cs="Arial"/>
          <w:b/>
          <w:bCs/>
        </w:rPr>
      </w:pPr>
      <w:r>
        <w:rPr>
          <w:rFonts w:ascii="Arial" w:hAnsi="Arial" w:cs="Arial"/>
          <w:b/>
          <w:bCs/>
        </w:rPr>
        <w:t>Asset Allocation Guidelines:</w:t>
      </w:r>
    </w:p>
    <w:p w:rsidR="007D7086" w:rsidRDefault="007D7086" w:rsidP="007D7086">
      <w:pPr>
        <w:widowControl w:val="0"/>
        <w:jc w:val="both"/>
        <w:rPr>
          <w:rFonts w:ascii="Arial" w:hAnsi="Arial" w:cs="Arial"/>
          <w:bCs/>
        </w:rPr>
      </w:pPr>
      <w:r>
        <w:rPr>
          <w:rFonts w:ascii="Arial" w:hAnsi="Arial" w:cs="Arial"/>
          <w:bCs/>
        </w:rPr>
        <w:t xml:space="preserve">The diversification of the investment assets shall be in accordance with the asset allocation parameters set below.  The sub-asset class targets will be managed by the Investment Management Consultant’s recommendations for the Investment Advisory Committee’s approval.  This allows for adjustments to the target allocations in light of the current market environment.  </w:t>
      </w:r>
    </w:p>
    <w:p w:rsidR="007D7086" w:rsidRDefault="007D7086" w:rsidP="007D7086">
      <w:pPr>
        <w:widowControl w:val="0"/>
        <w:jc w:val="both"/>
        <w:rPr>
          <w:rFonts w:ascii="Arial" w:hAnsi="Arial" w:cs="Arial"/>
        </w:rPr>
      </w:pPr>
    </w:p>
    <w:p w:rsidR="007D7086" w:rsidRDefault="007D7086" w:rsidP="007D7086">
      <w:pPr>
        <w:widowControl w:val="0"/>
        <w:jc w:val="both"/>
        <w:rPr>
          <w:rFonts w:ascii="Arial" w:hAnsi="Arial" w:cs="Arial"/>
        </w:rPr>
      </w:pPr>
    </w:p>
    <w:p w:rsidR="007D7086" w:rsidRDefault="007D7086" w:rsidP="007D7086">
      <w:pPr>
        <w:widowControl w:val="0"/>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Target</w:t>
      </w:r>
      <w:r>
        <w:rPr>
          <w:rFonts w:ascii="Arial" w:hAnsi="Arial" w:cs="Arial"/>
          <w:b/>
          <w:bCs/>
        </w:rPr>
        <w:tab/>
        <w:t>Maximum</w:t>
      </w:r>
    </w:p>
    <w:p w:rsidR="007D7086" w:rsidRDefault="007D7086" w:rsidP="007D7086">
      <w:pPr>
        <w:widowControl w:val="0"/>
        <w:ind w:firstLine="720"/>
        <w:jc w:val="both"/>
        <w:rPr>
          <w:rFonts w:ascii="Arial" w:hAnsi="Arial" w:cs="Arial"/>
          <w:b/>
          <w:bCs/>
        </w:rPr>
      </w:pPr>
      <w:r>
        <w:rPr>
          <w:rFonts w:ascii="Arial" w:hAnsi="Arial" w:cs="Arial"/>
          <w:b/>
          <w:bCs/>
          <w:u w:val="single"/>
        </w:rPr>
        <w:t>Asset Class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Allocation</w:t>
      </w:r>
      <w:r>
        <w:rPr>
          <w:rFonts w:ascii="Arial" w:hAnsi="Arial" w:cs="Arial"/>
          <w:b/>
          <w:bCs/>
        </w:rPr>
        <w:tab/>
      </w:r>
      <w:proofErr w:type="spellStart"/>
      <w:r>
        <w:rPr>
          <w:rFonts w:ascii="Arial" w:hAnsi="Arial" w:cs="Arial"/>
          <w:b/>
          <w:bCs/>
          <w:u w:val="single"/>
        </w:rPr>
        <w:t>Allocation</w:t>
      </w:r>
      <w:proofErr w:type="spellEnd"/>
    </w:p>
    <w:p w:rsidR="007D7086" w:rsidRDefault="007D7086" w:rsidP="007D7086">
      <w:pPr>
        <w:widowControl w:val="0"/>
        <w:ind w:firstLine="720"/>
        <w:jc w:val="both"/>
        <w:rPr>
          <w:rFonts w:ascii="Arial" w:hAnsi="Arial" w:cs="Arial"/>
          <w:b/>
          <w:bCs/>
        </w:rPr>
      </w:pPr>
      <w:r>
        <w:rPr>
          <w:rFonts w:ascii="Arial" w:hAnsi="Arial" w:cs="Arial"/>
          <w:b/>
          <w:bCs/>
        </w:rPr>
        <w:t>Public Equity</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20%</w:t>
      </w:r>
      <w:r>
        <w:rPr>
          <w:rFonts w:ascii="Arial" w:hAnsi="Arial" w:cs="Arial"/>
          <w:b/>
          <w:bCs/>
        </w:rPr>
        <w:tab/>
        <w:t xml:space="preserve">   </w:t>
      </w:r>
      <w:r>
        <w:rPr>
          <w:rFonts w:ascii="Arial" w:hAnsi="Arial" w:cs="Arial"/>
          <w:b/>
          <w:bCs/>
        </w:rPr>
        <w:tab/>
        <w:t xml:space="preserve">   30%</w:t>
      </w:r>
    </w:p>
    <w:p w:rsidR="007D7086" w:rsidRDefault="007D7086" w:rsidP="007D7086">
      <w:pPr>
        <w:widowControl w:val="0"/>
        <w:ind w:left="720" w:firstLine="360"/>
        <w:rPr>
          <w:rFonts w:ascii="Arial" w:hAnsi="Arial" w:cs="Arial"/>
          <w:bCs/>
        </w:rPr>
      </w:pPr>
      <w:r>
        <w:rPr>
          <w:rFonts w:ascii="Arial" w:hAnsi="Arial" w:cs="Arial"/>
          <w:bCs/>
        </w:rPr>
        <w:t>US Equity – All Cap/Large Cap</w:t>
      </w:r>
      <w:r>
        <w:rPr>
          <w:rFonts w:ascii="Arial" w:hAnsi="Arial" w:cs="Arial"/>
          <w:bCs/>
        </w:rPr>
        <w:tab/>
      </w:r>
      <w:r>
        <w:rPr>
          <w:rFonts w:ascii="Arial" w:hAnsi="Arial" w:cs="Arial"/>
          <w:bCs/>
        </w:rPr>
        <w:tab/>
      </w:r>
      <w:r>
        <w:rPr>
          <w:rFonts w:ascii="Arial" w:hAnsi="Arial" w:cs="Arial"/>
          <w:bCs/>
        </w:rPr>
        <w:tab/>
        <w:t xml:space="preserve">   20%</w:t>
      </w:r>
    </w:p>
    <w:p w:rsidR="007D7086" w:rsidRDefault="007D7086" w:rsidP="007D7086">
      <w:pPr>
        <w:widowControl w:val="0"/>
        <w:ind w:left="720" w:firstLine="360"/>
        <w:rPr>
          <w:rFonts w:ascii="Arial" w:hAnsi="Arial" w:cs="Arial"/>
          <w:bCs/>
        </w:rPr>
      </w:pPr>
      <w:r>
        <w:rPr>
          <w:rFonts w:ascii="Arial" w:hAnsi="Arial" w:cs="Arial"/>
          <w:bCs/>
        </w:rPr>
        <w:t>International Equity – Developed</w:t>
      </w:r>
      <w:r>
        <w:rPr>
          <w:rFonts w:ascii="Arial" w:hAnsi="Arial" w:cs="Arial"/>
          <w:bCs/>
        </w:rPr>
        <w:tab/>
      </w:r>
      <w:r>
        <w:rPr>
          <w:rFonts w:ascii="Arial" w:hAnsi="Arial" w:cs="Arial"/>
          <w:bCs/>
        </w:rPr>
        <w:tab/>
      </w:r>
      <w:r>
        <w:rPr>
          <w:rFonts w:ascii="Arial" w:hAnsi="Arial" w:cs="Arial"/>
          <w:bCs/>
        </w:rPr>
        <w:tab/>
        <w:t xml:space="preserve">   20%</w:t>
      </w:r>
    </w:p>
    <w:p w:rsidR="007D7086" w:rsidRDefault="007D7086" w:rsidP="007D7086">
      <w:pPr>
        <w:widowControl w:val="0"/>
        <w:ind w:left="720" w:firstLine="360"/>
        <w:rPr>
          <w:rFonts w:ascii="Arial" w:hAnsi="Arial" w:cs="Arial"/>
          <w:bCs/>
        </w:rPr>
      </w:pPr>
      <w:r>
        <w:rPr>
          <w:rFonts w:ascii="Arial" w:hAnsi="Arial" w:cs="Arial"/>
          <w:bCs/>
        </w:rPr>
        <w:t>Global Equity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10%</w:t>
      </w:r>
    </w:p>
    <w:p w:rsidR="007D7086" w:rsidRDefault="007D7086" w:rsidP="007D7086">
      <w:pPr>
        <w:widowControl w:val="0"/>
        <w:ind w:left="720"/>
        <w:rPr>
          <w:rFonts w:ascii="Arial" w:hAnsi="Arial" w:cs="Arial"/>
          <w:bCs/>
          <w:sz w:val="20"/>
          <w:szCs w:val="20"/>
        </w:rPr>
      </w:pPr>
    </w:p>
    <w:p w:rsidR="007D7086" w:rsidRDefault="007D7086" w:rsidP="007D7086">
      <w:pPr>
        <w:widowControl w:val="0"/>
        <w:ind w:left="720"/>
        <w:rPr>
          <w:rFonts w:ascii="Arial" w:hAnsi="Arial" w:cs="Arial"/>
          <w:b/>
          <w:bCs/>
        </w:rPr>
      </w:pPr>
      <w:r>
        <w:rPr>
          <w:rFonts w:ascii="Arial" w:hAnsi="Arial" w:cs="Arial"/>
          <w:b/>
          <w:bCs/>
        </w:rPr>
        <w:t>Fixed Income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50%</w:t>
      </w:r>
      <w:r>
        <w:rPr>
          <w:rFonts w:ascii="Arial" w:hAnsi="Arial" w:cs="Arial"/>
          <w:b/>
          <w:bCs/>
        </w:rPr>
        <w:tab/>
      </w:r>
      <w:r>
        <w:rPr>
          <w:rFonts w:ascii="Arial" w:hAnsi="Arial" w:cs="Arial"/>
          <w:b/>
          <w:bCs/>
        </w:rPr>
        <w:tab/>
        <w:t xml:space="preserve">   70%</w:t>
      </w:r>
    </w:p>
    <w:p w:rsidR="007D7086" w:rsidRDefault="007D7086" w:rsidP="007D7086">
      <w:pPr>
        <w:widowControl w:val="0"/>
        <w:ind w:left="720" w:firstLine="360"/>
        <w:rPr>
          <w:rFonts w:ascii="Arial" w:hAnsi="Arial" w:cs="Arial"/>
          <w:bCs/>
        </w:rPr>
      </w:pPr>
      <w:r>
        <w:rPr>
          <w:rFonts w:ascii="Arial" w:hAnsi="Arial" w:cs="Arial"/>
          <w:bCs/>
        </w:rPr>
        <w:t>Core US Fixed Income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25%</w:t>
      </w:r>
    </w:p>
    <w:p w:rsidR="007D7086" w:rsidRDefault="007D7086" w:rsidP="007D7086">
      <w:pPr>
        <w:widowControl w:val="0"/>
        <w:ind w:left="720" w:firstLine="360"/>
        <w:rPr>
          <w:rFonts w:ascii="Arial" w:hAnsi="Arial" w:cs="Arial"/>
          <w:bCs/>
        </w:rPr>
      </w:pPr>
      <w:r>
        <w:rPr>
          <w:rFonts w:ascii="Arial" w:hAnsi="Arial" w:cs="Arial"/>
          <w:bCs/>
        </w:rPr>
        <w:t>Global Fixed Income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25%</w:t>
      </w:r>
      <w:r>
        <w:rPr>
          <w:rFonts w:ascii="Arial" w:hAnsi="Arial" w:cs="Arial"/>
          <w:bCs/>
        </w:rPr>
        <w:tab/>
      </w:r>
    </w:p>
    <w:p w:rsidR="007D7086" w:rsidRDefault="007D7086" w:rsidP="007D7086">
      <w:pPr>
        <w:widowControl w:val="0"/>
        <w:ind w:left="720" w:firstLine="360"/>
        <w:rPr>
          <w:rFonts w:ascii="Arial" w:hAnsi="Arial" w:cs="Arial"/>
          <w:bCs/>
        </w:rPr>
      </w:pPr>
      <w:r>
        <w:rPr>
          <w:rFonts w:ascii="Arial" w:hAnsi="Arial" w:cs="Arial"/>
          <w:bCs/>
        </w:rPr>
        <w:t>Opportunistic Fixed Income</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25%</w:t>
      </w:r>
    </w:p>
    <w:p w:rsidR="007D7086" w:rsidRDefault="007D7086" w:rsidP="007D7086">
      <w:pPr>
        <w:widowControl w:val="0"/>
        <w:ind w:firstLine="720"/>
        <w:jc w:val="both"/>
        <w:rPr>
          <w:rFonts w:ascii="Arial" w:hAnsi="Arial" w:cs="Arial"/>
          <w:bCs/>
          <w:sz w:val="20"/>
          <w:szCs w:val="20"/>
        </w:rPr>
      </w:pPr>
    </w:p>
    <w:p w:rsidR="007D7086" w:rsidRDefault="007D7086" w:rsidP="007D7086">
      <w:pPr>
        <w:widowControl w:val="0"/>
        <w:ind w:firstLine="720"/>
        <w:jc w:val="both"/>
        <w:rPr>
          <w:rFonts w:ascii="Arial" w:hAnsi="Arial" w:cs="Arial"/>
          <w:b/>
          <w:bCs/>
        </w:rPr>
      </w:pPr>
      <w:r>
        <w:rPr>
          <w:rFonts w:ascii="Arial" w:hAnsi="Arial" w:cs="Arial"/>
          <w:b/>
          <w:bCs/>
        </w:rPr>
        <w:t>Diversified / Alternative Strategies</w:t>
      </w:r>
      <w:r>
        <w:rPr>
          <w:rFonts w:ascii="Arial" w:hAnsi="Arial" w:cs="Arial"/>
          <w:b/>
          <w:bCs/>
        </w:rPr>
        <w:tab/>
        <w:t xml:space="preserve">   20%</w:t>
      </w:r>
      <w:r>
        <w:rPr>
          <w:rFonts w:ascii="Arial" w:hAnsi="Arial" w:cs="Arial"/>
          <w:b/>
          <w:bCs/>
        </w:rPr>
        <w:tab/>
      </w:r>
      <w:r>
        <w:rPr>
          <w:rFonts w:ascii="Arial" w:hAnsi="Arial" w:cs="Arial"/>
          <w:b/>
          <w:bCs/>
        </w:rPr>
        <w:tab/>
        <w:t xml:space="preserve">   35%</w:t>
      </w:r>
    </w:p>
    <w:p w:rsidR="007D7086" w:rsidRDefault="007D7086" w:rsidP="007D7086">
      <w:pPr>
        <w:widowControl w:val="0"/>
        <w:ind w:firstLine="1080"/>
        <w:jc w:val="both"/>
        <w:rPr>
          <w:rFonts w:ascii="Arial" w:hAnsi="Arial" w:cs="Arial"/>
          <w:bCs/>
        </w:rPr>
      </w:pPr>
      <w:r>
        <w:rPr>
          <w:rFonts w:ascii="Arial" w:hAnsi="Arial" w:cs="Arial"/>
          <w:bCs/>
        </w:rPr>
        <w:t>Tactical Allocation</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10%</w:t>
      </w:r>
    </w:p>
    <w:p w:rsidR="007D7086" w:rsidRDefault="007D7086" w:rsidP="007D7086">
      <w:pPr>
        <w:widowControl w:val="0"/>
        <w:ind w:firstLine="1080"/>
        <w:jc w:val="both"/>
        <w:rPr>
          <w:rFonts w:ascii="Arial" w:hAnsi="Arial" w:cs="Arial"/>
          <w:bCs/>
        </w:rPr>
      </w:pPr>
      <w:r>
        <w:rPr>
          <w:rFonts w:ascii="Arial" w:hAnsi="Arial" w:cs="Arial"/>
          <w:bCs/>
        </w:rPr>
        <w:t>Absolute Return</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15%</w:t>
      </w:r>
    </w:p>
    <w:p w:rsidR="007D7086" w:rsidRDefault="007D7086" w:rsidP="007D7086">
      <w:pPr>
        <w:widowControl w:val="0"/>
        <w:ind w:left="720" w:firstLine="360"/>
        <w:rPr>
          <w:rFonts w:ascii="Arial" w:hAnsi="Arial" w:cs="Arial"/>
          <w:bCs/>
        </w:rPr>
      </w:pPr>
      <w:r>
        <w:rPr>
          <w:rFonts w:ascii="Arial" w:hAnsi="Arial" w:cs="Arial"/>
          <w:bCs/>
        </w:rPr>
        <w:t xml:space="preserve">Managed Commodities </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5%</w:t>
      </w:r>
    </w:p>
    <w:p w:rsidR="007D7086" w:rsidRDefault="007D7086" w:rsidP="007D7086">
      <w:pPr>
        <w:widowControl w:val="0"/>
        <w:ind w:left="720"/>
        <w:rPr>
          <w:rFonts w:ascii="Arial" w:hAnsi="Arial" w:cs="Arial"/>
          <w:bCs/>
          <w:sz w:val="20"/>
          <w:szCs w:val="20"/>
        </w:rPr>
      </w:pPr>
    </w:p>
    <w:p w:rsidR="007D7086" w:rsidRDefault="007D7086" w:rsidP="007D7086">
      <w:pPr>
        <w:widowControl w:val="0"/>
        <w:ind w:firstLine="720"/>
        <w:jc w:val="both"/>
        <w:rPr>
          <w:rFonts w:ascii="Arial" w:hAnsi="Arial" w:cs="Arial"/>
          <w:bCs/>
          <w:sz w:val="20"/>
          <w:szCs w:val="20"/>
        </w:rPr>
      </w:pPr>
    </w:p>
    <w:p w:rsidR="007D7086" w:rsidRDefault="007D7086" w:rsidP="007D7086">
      <w:pPr>
        <w:widowControl w:val="0"/>
        <w:ind w:firstLine="720"/>
        <w:jc w:val="both"/>
        <w:rPr>
          <w:rFonts w:ascii="Arial" w:hAnsi="Arial" w:cs="Arial"/>
          <w:b/>
          <w:bCs/>
        </w:rPr>
      </w:pPr>
      <w:r>
        <w:rPr>
          <w:rFonts w:ascii="Arial" w:hAnsi="Arial" w:cs="Arial"/>
          <w:b/>
          <w:bCs/>
        </w:rPr>
        <w:t>Cash &amp; Low Duration Fixed Income</w:t>
      </w:r>
      <w:r>
        <w:rPr>
          <w:rFonts w:ascii="Arial" w:hAnsi="Arial" w:cs="Arial"/>
          <w:b/>
          <w:bCs/>
        </w:rPr>
        <w:tab/>
      </w:r>
      <w:r>
        <w:rPr>
          <w:rFonts w:ascii="Arial" w:hAnsi="Arial" w:cs="Arial"/>
          <w:b/>
          <w:bCs/>
          <w:u w:val="single"/>
        </w:rPr>
        <w:t xml:space="preserve">   10%</w:t>
      </w:r>
      <w:r>
        <w:rPr>
          <w:rFonts w:ascii="Arial" w:hAnsi="Arial" w:cs="Arial"/>
          <w:b/>
          <w:bCs/>
          <w:u w:val="single"/>
        </w:rPr>
        <w:tab/>
      </w:r>
      <w:r>
        <w:rPr>
          <w:rFonts w:ascii="Arial" w:hAnsi="Arial" w:cs="Arial"/>
          <w:b/>
          <w:bCs/>
        </w:rPr>
        <w:tab/>
        <w:t xml:space="preserve">   20%</w:t>
      </w:r>
    </w:p>
    <w:p w:rsidR="007D7086" w:rsidRDefault="007D7086" w:rsidP="007D7086">
      <w:pPr>
        <w:widowControl w:val="0"/>
        <w:ind w:firstLine="720"/>
        <w:jc w:val="both"/>
        <w:rPr>
          <w:rFonts w:ascii="Arial" w:hAnsi="Arial" w:cs="Arial"/>
          <w:b/>
          <w:bCs/>
          <w:sz w:val="16"/>
          <w:szCs w:val="16"/>
        </w:rPr>
      </w:pPr>
    </w:p>
    <w:p w:rsidR="007D7086" w:rsidRDefault="007D7086" w:rsidP="007D7086">
      <w:pPr>
        <w:widowControl w:val="0"/>
        <w:jc w:val="both"/>
        <w:rPr>
          <w:rFonts w:ascii="Arial" w:hAnsi="Arial" w:cs="Arial"/>
          <w:b/>
          <w:bCs/>
        </w:rPr>
      </w:pPr>
      <w:r>
        <w:rPr>
          <w:rFonts w:ascii="Arial" w:hAnsi="Arial" w:cs="Arial"/>
          <w:bCs/>
        </w:rPr>
        <w:tab/>
      </w:r>
      <w:r>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100%</w:t>
      </w:r>
    </w:p>
    <w:p w:rsidR="007D7086" w:rsidRDefault="007D7086" w:rsidP="007D7086">
      <w:pPr>
        <w:widowControl w:val="0"/>
        <w:jc w:val="both"/>
      </w:pPr>
    </w:p>
    <w:p w:rsidR="007D7086" w:rsidRDefault="007D7086" w:rsidP="007D7086">
      <w:pPr>
        <w:widowControl w:val="0"/>
        <w:jc w:val="both"/>
      </w:pPr>
    </w:p>
    <w:p w:rsidR="007D7086" w:rsidRDefault="007D7086" w:rsidP="007D7086">
      <w:pPr>
        <w:widowControl w:val="0"/>
        <w:jc w:val="both"/>
      </w:pPr>
    </w:p>
    <w:p w:rsidR="007D7086" w:rsidRDefault="007D7086" w:rsidP="007D7086">
      <w:pPr>
        <w:widowControl w:val="0"/>
        <w:jc w:val="both"/>
      </w:pPr>
    </w:p>
    <w:p w:rsidR="007D7086" w:rsidRDefault="007D7086" w:rsidP="007D7086">
      <w:pPr>
        <w:widowControl w:val="0"/>
        <w:jc w:val="both"/>
      </w:pPr>
    </w:p>
    <w:p w:rsidR="003D3DEF" w:rsidRDefault="00845E93" w:rsidP="007D7086">
      <w:pPr>
        <w:widowControl w:val="0"/>
        <w:jc w:val="both"/>
        <w:rPr>
          <w:rFonts w:ascii="Arial" w:hAnsi="Arial" w:cs="Arial"/>
        </w:rPr>
      </w:pPr>
      <w:r w:rsidRPr="008F3F9F">
        <w:rPr>
          <w:rFonts w:ascii="Arial" w:hAnsi="Arial" w:cs="Arial"/>
        </w:rPr>
        <w:t>Added 11/1/</w:t>
      </w:r>
      <w:r w:rsidR="007D7086" w:rsidRPr="008F3F9F">
        <w:rPr>
          <w:rFonts w:ascii="Arial" w:hAnsi="Arial" w:cs="Arial"/>
        </w:rPr>
        <w:t>2011</w:t>
      </w:r>
    </w:p>
    <w:p w:rsidR="003D3DEF" w:rsidRPr="004D02DF" w:rsidRDefault="003D3DEF" w:rsidP="005B5BE3">
      <w:pPr>
        <w:jc w:val="center"/>
        <w:rPr>
          <w:rFonts w:ascii="Arial" w:hAnsi="Arial" w:cs="Arial"/>
          <w:b/>
          <w:sz w:val="32"/>
          <w:szCs w:val="32"/>
          <w:u w:val="single"/>
        </w:rPr>
      </w:pPr>
      <w:r>
        <w:rPr>
          <w:rFonts w:ascii="Arial" w:hAnsi="Arial" w:cs="Arial"/>
        </w:rPr>
        <w:br w:type="page"/>
      </w:r>
      <w:r>
        <w:rPr>
          <w:rFonts w:ascii="Arial" w:hAnsi="Arial" w:cs="Arial"/>
          <w:b/>
          <w:sz w:val="32"/>
          <w:szCs w:val="32"/>
          <w:u w:val="single"/>
        </w:rPr>
        <w:lastRenderedPageBreak/>
        <w:t>A</w:t>
      </w:r>
      <w:r w:rsidR="00A11920">
        <w:rPr>
          <w:rFonts w:ascii="Arial" w:hAnsi="Arial" w:cs="Arial"/>
          <w:b/>
          <w:sz w:val="32"/>
          <w:szCs w:val="32"/>
          <w:u w:val="single"/>
        </w:rPr>
        <w:t>ddendum D</w:t>
      </w:r>
      <w:r w:rsidRPr="004D02DF">
        <w:rPr>
          <w:rFonts w:ascii="Arial" w:hAnsi="Arial" w:cs="Arial"/>
          <w:b/>
          <w:sz w:val="32"/>
          <w:szCs w:val="32"/>
          <w:u w:val="single"/>
        </w:rPr>
        <w:t xml:space="preserve"> – Short-Term Pool Guidelines</w:t>
      </w:r>
    </w:p>
    <w:p w:rsidR="003D3DEF" w:rsidRDefault="003D3DEF" w:rsidP="003D3DEF">
      <w:pPr>
        <w:pStyle w:val="NoSpacing"/>
      </w:pPr>
    </w:p>
    <w:p w:rsidR="003D3DEF" w:rsidRDefault="003D3DEF" w:rsidP="003D3DEF">
      <w:pPr>
        <w:pStyle w:val="NoSpacing"/>
        <w:rPr>
          <w:sz w:val="20"/>
          <w:szCs w:val="20"/>
        </w:rPr>
      </w:pPr>
    </w:p>
    <w:p w:rsidR="003D3DEF" w:rsidRPr="004D02DF" w:rsidRDefault="003D3DEF" w:rsidP="003D3DEF">
      <w:pPr>
        <w:pStyle w:val="NoSpacing"/>
        <w:rPr>
          <w:rFonts w:ascii="Arial" w:hAnsi="Arial" w:cs="Arial"/>
          <w:spacing w:val="-3"/>
          <w:sz w:val="24"/>
          <w:szCs w:val="24"/>
        </w:rPr>
      </w:pPr>
      <w:r w:rsidRPr="004D02DF">
        <w:rPr>
          <w:rFonts w:ascii="Arial" w:hAnsi="Arial" w:cs="Arial"/>
          <w:b/>
          <w:spacing w:val="-3"/>
          <w:sz w:val="24"/>
          <w:szCs w:val="24"/>
        </w:rPr>
        <w:t>Type of Funds:</w:t>
      </w:r>
      <w:r w:rsidRPr="004D02DF">
        <w:rPr>
          <w:rFonts w:ascii="Arial" w:hAnsi="Arial" w:cs="Arial"/>
          <w:b/>
          <w:spacing w:val="-3"/>
          <w:sz w:val="24"/>
          <w:szCs w:val="24"/>
        </w:rPr>
        <w:tab/>
      </w:r>
      <w:r w:rsidRPr="004D02DF">
        <w:rPr>
          <w:rFonts w:ascii="Arial" w:hAnsi="Arial" w:cs="Arial"/>
          <w:b/>
          <w:spacing w:val="-3"/>
          <w:sz w:val="24"/>
          <w:szCs w:val="24"/>
        </w:rPr>
        <w:tab/>
      </w:r>
      <w:r w:rsidRPr="004D02DF">
        <w:rPr>
          <w:rFonts w:ascii="Arial" w:hAnsi="Arial" w:cs="Arial"/>
          <w:spacing w:val="-3"/>
          <w:sz w:val="24"/>
          <w:szCs w:val="24"/>
        </w:rPr>
        <w:t>Expendable Funds</w:t>
      </w:r>
    </w:p>
    <w:p w:rsidR="003D3DEF" w:rsidRPr="004D02DF" w:rsidRDefault="003D3DEF" w:rsidP="003D3DEF">
      <w:pPr>
        <w:pStyle w:val="NoSpacing"/>
        <w:rPr>
          <w:rFonts w:ascii="Arial" w:hAnsi="Arial" w:cs="Arial"/>
          <w:spacing w:val="-3"/>
          <w:sz w:val="24"/>
          <w:szCs w:val="24"/>
        </w:rPr>
      </w:pPr>
    </w:p>
    <w:p w:rsidR="003D3DEF" w:rsidRPr="004D02DF" w:rsidRDefault="003D3DEF" w:rsidP="003D3DEF">
      <w:pPr>
        <w:pStyle w:val="NoSpacing"/>
        <w:rPr>
          <w:rFonts w:ascii="Arial" w:hAnsi="Arial" w:cs="Arial"/>
          <w:b/>
          <w:spacing w:val="-3"/>
          <w:sz w:val="24"/>
          <w:szCs w:val="24"/>
        </w:rPr>
      </w:pPr>
      <w:r w:rsidRPr="004D02DF">
        <w:rPr>
          <w:rFonts w:ascii="Arial" w:hAnsi="Arial" w:cs="Arial"/>
          <w:b/>
          <w:spacing w:val="-3"/>
          <w:sz w:val="24"/>
          <w:szCs w:val="24"/>
        </w:rPr>
        <w:t xml:space="preserve">Investment / </w:t>
      </w:r>
    </w:p>
    <w:p w:rsidR="003D3DEF" w:rsidRPr="004D02DF" w:rsidRDefault="003D3DEF" w:rsidP="003D3DEF">
      <w:pPr>
        <w:pStyle w:val="NoSpacing"/>
        <w:rPr>
          <w:rFonts w:ascii="Arial" w:hAnsi="Arial" w:cs="Arial"/>
          <w:color w:val="000000"/>
          <w:spacing w:val="-3"/>
          <w:sz w:val="24"/>
          <w:szCs w:val="24"/>
        </w:rPr>
      </w:pPr>
      <w:r w:rsidRPr="004D02DF">
        <w:rPr>
          <w:rFonts w:ascii="Arial" w:hAnsi="Arial" w:cs="Arial"/>
          <w:b/>
          <w:spacing w:val="-3"/>
          <w:sz w:val="24"/>
          <w:szCs w:val="24"/>
        </w:rPr>
        <w:t>Time Horizon:</w:t>
      </w:r>
      <w:r w:rsidRPr="004D02DF">
        <w:rPr>
          <w:rFonts w:ascii="Arial" w:hAnsi="Arial" w:cs="Arial"/>
          <w:b/>
          <w:spacing w:val="-3"/>
          <w:sz w:val="24"/>
          <w:szCs w:val="24"/>
        </w:rPr>
        <w:tab/>
      </w:r>
      <w:r w:rsidRPr="004D02DF">
        <w:rPr>
          <w:rFonts w:ascii="Arial" w:hAnsi="Arial" w:cs="Arial"/>
          <w:b/>
          <w:spacing w:val="-3"/>
          <w:sz w:val="24"/>
          <w:szCs w:val="24"/>
        </w:rPr>
        <w:tab/>
      </w:r>
      <w:r w:rsidRPr="004D02DF">
        <w:rPr>
          <w:rFonts w:ascii="Arial" w:hAnsi="Arial" w:cs="Arial"/>
          <w:spacing w:val="-3"/>
          <w:sz w:val="24"/>
          <w:szCs w:val="24"/>
        </w:rPr>
        <w:t xml:space="preserve">Investments with </w:t>
      </w:r>
      <w:proofErr w:type="gramStart"/>
      <w:r>
        <w:rPr>
          <w:rFonts w:ascii="Arial" w:hAnsi="Arial" w:cs="Arial"/>
          <w:spacing w:val="-3"/>
          <w:sz w:val="24"/>
          <w:szCs w:val="24"/>
        </w:rPr>
        <w:t xml:space="preserve">a </w:t>
      </w:r>
      <w:r w:rsidRPr="004D02DF">
        <w:rPr>
          <w:rFonts w:ascii="Arial" w:hAnsi="Arial" w:cs="Arial"/>
          <w:spacing w:val="-3"/>
          <w:sz w:val="24"/>
          <w:szCs w:val="24"/>
        </w:rPr>
        <w:t>duration</w:t>
      </w:r>
      <w:proofErr w:type="gramEnd"/>
      <w:r w:rsidRPr="004D02DF">
        <w:rPr>
          <w:rFonts w:ascii="Arial" w:hAnsi="Arial" w:cs="Arial"/>
          <w:spacing w:val="-3"/>
          <w:sz w:val="24"/>
          <w:szCs w:val="24"/>
        </w:rPr>
        <w:t xml:space="preserve"> of less than one year</w:t>
      </w:r>
    </w:p>
    <w:p w:rsidR="003D3DEF" w:rsidRPr="004D02DF" w:rsidRDefault="003D3DEF" w:rsidP="003D3DEF">
      <w:pPr>
        <w:pStyle w:val="NoSpacing"/>
        <w:rPr>
          <w:rFonts w:ascii="Arial" w:hAnsi="Arial" w:cs="Arial"/>
          <w:sz w:val="24"/>
          <w:szCs w:val="24"/>
        </w:rPr>
      </w:pPr>
    </w:p>
    <w:p w:rsidR="003D3DEF" w:rsidRPr="004D02DF" w:rsidRDefault="003D3DEF" w:rsidP="003D3DEF">
      <w:pPr>
        <w:pStyle w:val="NoSpacing"/>
        <w:rPr>
          <w:rFonts w:ascii="Arial" w:hAnsi="Arial" w:cs="Arial"/>
          <w:sz w:val="24"/>
          <w:szCs w:val="24"/>
        </w:rPr>
      </w:pPr>
      <w:r w:rsidRPr="004D02DF">
        <w:rPr>
          <w:rFonts w:ascii="Arial" w:hAnsi="Arial" w:cs="Arial"/>
          <w:b/>
          <w:spacing w:val="-3"/>
          <w:sz w:val="24"/>
          <w:szCs w:val="24"/>
        </w:rPr>
        <w:t>Investment Objectives:</w:t>
      </w:r>
      <w:r w:rsidRPr="004D02DF">
        <w:rPr>
          <w:rFonts w:ascii="Arial" w:hAnsi="Arial" w:cs="Arial"/>
          <w:b/>
          <w:spacing w:val="-3"/>
          <w:sz w:val="24"/>
          <w:szCs w:val="24"/>
        </w:rPr>
        <w:tab/>
      </w:r>
      <w:r>
        <w:rPr>
          <w:rFonts w:ascii="Arial" w:hAnsi="Arial" w:cs="Arial"/>
          <w:spacing w:val="-3"/>
          <w:sz w:val="24"/>
          <w:szCs w:val="24"/>
        </w:rPr>
        <w:t>Capital p</w:t>
      </w:r>
      <w:r w:rsidRPr="004D02DF">
        <w:rPr>
          <w:rFonts w:ascii="Arial" w:hAnsi="Arial" w:cs="Arial"/>
          <w:spacing w:val="-3"/>
          <w:sz w:val="24"/>
          <w:szCs w:val="24"/>
        </w:rPr>
        <w:t>reservation and</w:t>
      </w:r>
      <w:r>
        <w:rPr>
          <w:rFonts w:ascii="Arial" w:hAnsi="Arial" w:cs="Arial"/>
          <w:spacing w:val="-3"/>
          <w:sz w:val="24"/>
          <w:szCs w:val="24"/>
        </w:rPr>
        <w:t xml:space="preserve"> liquidity, with a s</w:t>
      </w:r>
      <w:r w:rsidRPr="004D02DF">
        <w:rPr>
          <w:rFonts w:ascii="Arial" w:hAnsi="Arial" w:cs="Arial"/>
          <w:spacing w:val="-3"/>
          <w:sz w:val="24"/>
          <w:szCs w:val="24"/>
        </w:rPr>
        <w:t xml:space="preserve">econdary objective is </w:t>
      </w:r>
      <w:r>
        <w:rPr>
          <w:rFonts w:ascii="Arial" w:hAnsi="Arial" w:cs="Arial"/>
          <w:spacing w:val="-3"/>
          <w:sz w:val="24"/>
          <w:szCs w:val="24"/>
        </w:rPr>
        <w:t xml:space="preserve">of income </w:t>
      </w:r>
      <w:r w:rsidRPr="004D02DF">
        <w:rPr>
          <w:rFonts w:ascii="Arial" w:hAnsi="Arial" w:cs="Arial"/>
          <w:spacing w:val="-3"/>
          <w:sz w:val="24"/>
          <w:szCs w:val="24"/>
        </w:rPr>
        <w:t>that approach</w:t>
      </w:r>
      <w:r>
        <w:rPr>
          <w:rFonts w:ascii="Arial" w:hAnsi="Arial" w:cs="Arial"/>
          <w:spacing w:val="-3"/>
          <w:sz w:val="24"/>
          <w:szCs w:val="24"/>
        </w:rPr>
        <w:t>es</w:t>
      </w:r>
      <w:r w:rsidRPr="004D02DF">
        <w:rPr>
          <w:rFonts w:ascii="Arial" w:hAnsi="Arial" w:cs="Arial"/>
          <w:spacing w:val="-3"/>
          <w:sz w:val="24"/>
          <w:szCs w:val="24"/>
        </w:rPr>
        <w:t xml:space="preserve"> or exceed</w:t>
      </w:r>
      <w:r>
        <w:rPr>
          <w:rFonts w:ascii="Arial" w:hAnsi="Arial" w:cs="Arial"/>
          <w:spacing w:val="-3"/>
          <w:sz w:val="24"/>
          <w:szCs w:val="24"/>
        </w:rPr>
        <w:t>s</w:t>
      </w:r>
      <w:r w:rsidRPr="004D02DF">
        <w:rPr>
          <w:rFonts w:ascii="Arial" w:hAnsi="Arial" w:cs="Arial"/>
          <w:spacing w:val="-3"/>
          <w:sz w:val="24"/>
          <w:szCs w:val="24"/>
        </w:rPr>
        <w:t xml:space="preserve"> the Foundation’s </w:t>
      </w:r>
      <w:r>
        <w:rPr>
          <w:rFonts w:ascii="Arial" w:hAnsi="Arial" w:cs="Arial"/>
          <w:spacing w:val="-3"/>
          <w:sz w:val="24"/>
          <w:szCs w:val="24"/>
        </w:rPr>
        <w:t>administrative expense rate.</w:t>
      </w:r>
    </w:p>
    <w:p w:rsidR="003D3DEF" w:rsidRPr="004D02DF" w:rsidRDefault="003D3DEF" w:rsidP="003D3DEF">
      <w:pPr>
        <w:pStyle w:val="NoSpacing"/>
        <w:rPr>
          <w:rFonts w:ascii="Arial" w:hAnsi="Arial" w:cs="Arial"/>
          <w:sz w:val="24"/>
          <w:szCs w:val="24"/>
        </w:rPr>
      </w:pPr>
    </w:p>
    <w:p w:rsidR="003D3DEF" w:rsidRPr="004D02DF" w:rsidRDefault="003D3DEF" w:rsidP="003D3DEF">
      <w:pPr>
        <w:pStyle w:val="NoSpacing"/>
        <w:rPr>
          <w:rFonts w:ascii="Arial" w:hAnsi="Arial" w:cs="Arial"/>
          <w:sz w:val="24"/>
          <w:szCs w:val="24"/>
        </w:rPr>
      </w:pPr>
    </w:p>
    <w:p w:rsidR="003D3DEF" w:rsidRPr="004D02DF" w:rsidRDefault="003D3DEF" w:rsidP="003D3DEF">
      <w:pPr>
        <w:pStyle w:val="NoSpacing"/>
        <w:rPr>
          <w:rFonts w:ascii="Arial" w:hAnsi="Arial" w:cs="Arial"/>
          <w:b/>
          <w:sz w:val="24"/>
          <w:szCs w:val="24"/>
        </w:rPr>
      </w:pPr>
      <w:r w:rsidRPr="004D02DF">
        <w:rPr>
          <w:rFonts w:ascii="Arial" w:hAnsi="Arial" w:cs="Arial"/>
          <w:b/>
          <w:sz w:val="24"/>
          <w:szCs w:val="24"/>
        </w:rPr>
        <w:t>Asset Allocation Guidelines:</w:t>
      </w:r>
    </w:p>
    <w:p w:rsidR="003D3DEF" w:rsidRDefault="003D3DEF" w:rsidP="003D3DEF">
      <w:pPr>
        <w:pStyle w:val="NoSpacing"/>
        <w:rPr>
          <w:rFonts w:ascii="Arial" w:hAnsi="Arial" w:cs="Arial"/>
          <w:sz w:val="24"/>
          <w:szCs w:val="24"/>
        </w:rPr>
      </w:pPr>
    </w:p>
    <w:p w:rsidR="003D3DEF" w:rsidRDefault="003D3DEF" w:rsidP="003D3DEF">
      <w:pPr>
        <w:pStyle w:val="NoSpacing"/>
        <w:rPr>
          <w:rFonts w:ascii="Arial" w:hAnsi="Arial" w:cs="Arial"/>
          <w:sz w:val="24"/>
          <w:szCs w:val="24"/>
        </w:rPr>
      </w:pPr>
      <w:r>
        <w:rPr>
          <w:rFonts w:ascii="Arial" w:hAnsi="Arial" w:cs="Arial"/>
          <w:sz w:val="24"/>
          <w:szCs w:val="24"/>
        </w:rPr>
        <w:t>Allowable investments include certificates of deposit (including through the Certificate of Deposit Account Registry Service), money market funds, Treasury bills, and other cash equivalent investments.</w:t>
      </w:r>
      <w:r w:rsidR="0090421F">
        <w:rPr>
          <w:rFonts w:ascii="Arial" w:hAnsi="Arial" w:cs="Arial"/>
          <w:sz w:val="24"/>
          <w:szCs w:val="24"/>
        </w:rPr>
        <w:t xml:space="preserve"> </w:t>
      </w:r>
      <w:r w:rsidR="0090421F" w:rsidRPr="0090421F">
        <w:rPr>
          <w:rFonts w:ascii="Arial" w:hAnsi="Arial" w:cs="Arial"/>
          <w:sz w:val="24"/>
          <w:szCs w:val="24"/>
        </w:rPr>
        <w:t xml:space="preserve">Investments at individual institutions may exceed FDIC insurance coverage limits in order to meet the return objective and/or lower the cost of administering the pool. </w:t>
      </w:r>
      <w:r w:rsidR="0090421F" w:rsidRPr="0090421F">
        <w:rPr>
          <w:rFonts w:ascii="Arial" w:hAnsi="Arial" w:cs="Arial"/>
          <w:bCs/>
          <w:sz w:val="24"/>
          <w:szCs w:val="24"/>
        </w:rPr>
        <w:t>Investments can exceed FDIC coverage limits only at institutions with an FDIC rating of “well-capitalized.” Ensuring adequate liquidity will be a primary consideration when establishing the mix of investments.</w:t>
      </w:r>
      <w:r>
        <w:rPr>
          <w:rFonts w:ascii="Arial" w:hAnsi="Arial" w:cs="Arial"/>
          <w:sz w:val="24"/>
          <w:szCs w:val="24"/>
        </w:rPr>
        <w:t xml:space="preserve"> </w:t>
      </w:r>
    </w:p>
    <w:p w:rsidR="003D3DEF" w:rsidRDefault="003D3DEF" w:rsidP="003D3DEF">
      <w:pPr>
        <w:pStyle w:val="NoSpacing"/>
        <w:rPr>
          <w:rFonts w:ascii="Arial" w:hAnsi="Arial" w:cs="Arial"/>
          <w:sz w:val="24"/>
          <w:szCs w:val="24"/>
        </w:rPr>
      </w:pPr>
    </w:p>
    <w:p w:rsidR="003D3DEF" w:rsidRPr="004D02DF" w:rsidRDefault="003D3DEF" w:rsidP="003D3DEF">
      <w:pPr>
        <w:pStyle w:val="NoSpacing"/>
        <w:rPr>
          <w:rFonts w:ascii="Arial" w:hAnsi="Arial" w:cs="Arial"/>
          <w:sz w:val="24"/>
          <w:szCs w:val="24"/>
        </w:rPr>
      </w:pPr>
    </w:p>
    <w:p w:rsidR="003D3DEF" w:rsidRPr="004D02DF" w:rsidRDefault="003D3DEF" w:rsidP="003D3DEF">
      <w:pPr>
        <w:pStyle w:val="NoSpacing"/>
        <w:rPr>
          <w:rFonts w:ascii="Arial" w:hAnsi="Arial" w:cs="Arial"/>
          <w:sz w:val="24"/>
          <w:szCs w:val="24"/>
        </w:rPr>
      </w:pPr>
    </w:p>
    <w:p w:rsidR="003D3DEF" w:rsidRPr="004D02DF" w:rsidRDefault="003D3DEF" w:rsidP="003D3DEF">
      <w:pPr>
        <w:pStyle w:val="NoSpacing"/>
        <w:rPr>
          <w:rFonts w:ascii="Arial" w:hAnsi="Arial" w:cs="Arial"/>
          <w:sz w:val="24"/>
          <w:szCs w:val="24"/>
        </w:rPr>
      </w:pPr>
    </w:p>
    <w:p w:rsidR="003D3DEF" w:rsidRDefault="003D3DEF" w:rsidP="003D3DEF">
      <w:pPr>
        <w:pStyle w:val="NoSpacing"/>
      </w:pPr>
    </w:p>
    <w:p w:rsidR="003D3DEF" w:rsidRPr="00A11920" w:rsidRDefault="003D3DEF" w:rsidP="003D3DEF">
      <w:pPr>
        <w:pStyle w:val="NoSpacing"/>
        <w:rPr>
          <w:rFonts w:ascii="Arial" w:hAnsi="Arial" w:cs="Arial"/>
          <w:sz w:val="24"/>
          <w:szCs w:val="24"/>
        </w:rPr>
      </w:pPr>
      <w:r w:rsidRPr="00A11920">
        <w:rPr>
          <w:rFonts w:ascii="Arial" w:hAnsi="Arial" w:cs="Arial"/>
          <w:sz w:val="24"/>
          <w:szCs w:val="24"/>
        </w:rPr>
        <w:t xml:space="preserve">Added </w:t>
      </w:r>
      <w:r w:rsidR="00AE571D">
        <w:rPr>
          <w:rFonts w:ascii="Arial" w:hAnsi="Arial" w:cs="Arial"/>
          <w:sz w:val="24"/>
          <w:szCs w:val="24"/>
        </w:rPr>
        <w:t>6/5/</w:t>
      </w:r>
      <w:r w:rsidRPr="00A11920">
        <w:rPr>
          <w:rFonts w:ascii="Arial" w:hAnsi="Arial" w:cs="Arial"/>
          <w:sz w:val="24"/>
          <w:szCs w:val="24"/>
        </w:rPr>
        <w:t>2012</w:t>
      </w:r>
    </w:p>
    <w:p w:rsidR="003D3DEF" w:rsidRDefault="003D3DEF" w:rsidP="007D7086">
      <w:pPr>
        <w:widowControl w:val="0"/>
        <w:jc w:val="both"/>
        <w:rPr>
          <w:rFonts w:ascii="Arial" w:hAnsi="Arial" w:cs="Arial"/>
        </w:rPr>
      </w:pPr>
    </w:p>
    <w:p w:rsidR="003D3DEF" w:rsidRDefault="003D3DEF">
      <w:pPr>
        <w:rPr>
          <w:rFonts w:ascii="Arial" w:hAnsi="Arial" w:cs="Arial"/>
        </w:rPr>
      </w:pPr>
      <w:r>
        <w:rPr>
          <w:rFonts w:ascii="Arial" w:hAnsi="Arial" w:cs="Arial"/>
        </w:rPr>
        <w:br w:type="page"/>
      </w:r>
    </w:p>
    <w:p w:rsidR="007D7086" w:rsidRPr="008F3F9F" w:rsidRDefault="007D7086" w:rsidP="007D7086">
      <w:pPr>
        <w:widowControl w:val="0"/>
        <w:jc w:val="both"/>
        <w:rPr>
          <w:rFonts w:ascii="Arial" w:hAnsi="Arial" w:cs="Arial"/>
        </w:rPr>
      </w:pPr>
    </w:p>
    <w:p w:rsidR="00B724DA" w:rsidRDefault="00B724DA">
      <w:pPr>
        <w:widowControl w:val="0"/>
        <w:jc w:val="both"/>
        <w:rPr>
          <w:rFonts w:ascii="Arial" w:hAnsi="Arial" w:cs="Arial"/>
          <w:sz w:val="16"/>
          <w:szCs w:val="16"/>
        </w:rPr>
      </w:pPr>
    </w:p>
    <w:p w:rsidR="00B724DA" w:rsidRDefault="00B724DA">
      <w:pPr>
        <w:pStyle w:val="StyleHeading1Black"/>
        <w:rPr>
          <w:rFonts w:ascii="Arial" w:hAnsi="Arial" w:cs="Arial"/>
        </w:rPr>
      </w:pPr>
      <w:bookmarkStart w:id="27" w:name="_Toc285123370"/>
      <w:bookmarkEnd w:id="26"/>
      <w:r>
        <w:rPr>
          <w:rFonts w:ascii="Arial" w:hAnsi="Arial" w:cs="Arial"/>
        </w:rPr>
        <w:t>INVESTMENT POLICY REVIEW</w:t>
      </w:r>
      <w:bookmarkEnd w:id="27"/>
    </w:p>
    <w:p w:rsidR="00B724DA" w:rsidRDefault="00B724DA">
      <w:pPr>
        <w:rPr>
          <w:rFonts w:ascii="Arial" w:hAnsi="Arial" w:cs="Arial"/>
        </w:rPr>
      </w:pPr>
      <w:r>
        <w:rPr>
          <w:rFonts w:ascii="Arial" w:hAnsi="Arial" w:cs="Arial"/>
        </w:rPr>
        <w:t>This Policy shall be reviewed and reconfirmed or revised annually by the Investment Advisory Committee.  Changes to the investment policy must be approved by the Board of Directors.</w:t>
      </w:r>
    </w:p>
    <w:p w:rsidR="00B724DA" w:rsidRDefault="00B724DA">
      <w:pPr>
        <w:rPr>
          <w:rFonts w:ascii="Arial" w:hAnsi="Arial" w:cs="Arial"/>
        </w:rPr>
      </w:pPr>
    </w:p>
    <w:p w:rsidR="00B724DA" w:rsidRDefault="00B724DA">
      <w:pPr>
        <w:rPr>
          <w:rFonts w:ascii="Arial" w:hAnsi="Arial" w:cs="Arial"/>
        </w:rPr>
      </w:pPr>
      <w:r>
        <w:rPr>
          <w:rFonts w:ascii="Arial" w:hAnsi="Arial" w:cs="Arial"/>
        </w:rPr>
        <w:t>This statement of inve</w:t>
      </w:r>
      <w:r w:rsidR="00891E23">
        <w:rPr>
          <w:rFonts w:ascii="Arial" w:hAnsi="Arial" w:cs="Arial"/>
        </w:rPr>
        <w:t>stment policy wa</w:t>
      </w:r>
      <w:r w:rsidR="007C3BC3">
        <w:rPr>
          <w:rFonts w:ascii="Arial" w:hAnsi="Arial" w:cs="Arial"/>
        </w:rPr>
        <w:t xml:space="preserve">s </w:t>
      </w:r>
      <w:r w:rsidR="00CA2A45">
        <w:rPr>
          <w:rFonts w:ascii="Arial" w:hAnsi="Arial" w:cs="Arial"/>
        </w:rPr>
        <w:t xml:space="preserve">last </w:t>
      </w:r>
      <w:r w:rsidR="00845E93">
        <w:rPr>
          <w:rFonts w:ascii="Arial" w:hAnsi="Arial" w:cs="Arial"/>
        </w:rPr>
        <w:t xml:space="preserve">revised </w:t>
      </w:r>
      <w:r w:rsidR="008F3F9F">
        <w:rPr>
          <w:rFonts w:ascii="Arial" w:hAnsi="Arial" w:cs="Arial"/>
        </w:rPr>
        <w:t>June 5, 2012</w:t>
      </w:r>
      <w:r w:rsidRPr="00C4578A">
        <w:rPr>
          <w:rFonts w:ascii="Arial" w:hAnsi="Arial" w:cs="Arial"/>
        </w:rPr>
        <w:t xml:space="preserve"> by</w:t>
      </w:r>
      <w:r>
        <w:rPr>
          <w:rFonts w:ascii="Arial" w:hAnsi="Arial" w:cs="Arial"/>
        </w:rPr>
        <w:t xml:space="preserve"> the Board of Directors</w:t>
      </w:r>
      <w:r w:rsidR="00891E23">
        <w:rPr>
          <w:rFonts w:ascii="Arial" w:hAnsi="Arial" w:cs="Arial"/>
        </w:rPr>
        <w:t>.</w:t>
      </w:r>
    </w:p>
    <w:p w:rsidR="00B724DA" w:rsidRDefault="00B724DA">
      <w:pPr>
        <w:rPr>
          <w:rFonts w:ascii="Arial" w:hAnsi="Arial" w:cs="Arial"/>
        </w:rPr>
      </w:pPr>
    </w:p>
    <w:p w:rsidR="00B724DA" w:rsidRDefault="00B724DA"/>
    <w:p w:rsidR="00B724DA" w:rsidRDefault="00B724DA"/>
    <w:p w:rsidR="00B724DA" w:rsidRDefault="00B724DA"/>
    <w:p w:rsidR="008F3F9F" w:rsidRPr="00C4578A" w:rsidRDefault="008F3F9F" w:rsidP="008F3F9F">
      <w:pPr>
        <w:rPr>
          <w:rFonts w:ascii="Arial" w:hAnsi="Arial" w:cs="Arial"/>
        </w:rPr>
      </w:pPr>
      <w:r>
        <w:rPr>
          <w:rFonts w:ascii="Arial" w:hAnsi="Arial" w:cs="Arial"/>
        </w:rPr>
        <w:t>R</w:t>
      </w:r>
      <w:r w:rsidRPr="00C4578A">
        <w:rPr>
          <w:rFonts w:ascii="Arial" w:hAnsi="Arial" w:cs="Arial"/>
        </w:rPr>
        <w:t xml:space="preserve">evised and Approved </w:t>
      </w:r>
      <w:r>
        <w:rPr>
          <w:rFonts w:ascii="Arial" w:hAnsi="Arial" w:cs="Arial"/>
        </w:rPr>
        <w:t>6/5/2012</w:t>
      </w:r>
    </w:p>
    <w:p w:rsidR="007D7086" w:rsidRPr="00C4578A" w:rsidRDefault="007D7086" w:rsidP="007D7086">
      <w:pPr>
        <w:rPr>
          <w:rFonts w:ascii="Arial" w:hAnsi="Arial" w:cs="Arial"/>
        </w:rPr>
      </w:pPr>
      <w:r>
        <w:rPr>
          <w:rFonts w:ascii="Arial" w:hAnsi="Arial" w:cs="Arial"/>
        </w:rPr>
        <w:t>R</w:t>
      </w:r>
      <w:r w:rsidRPr="00C4578A">
        <w:rPr>
          <w:rFonts w:ascii="Arial" w:hAnsi="Arial" w:cs="Arial"/>
        </w:rPr>
        <w:t xml:space="preserve">evised and Approved </w:t>
      </w:r>
      <w:r>
        <w:rPr>
          <w:rFonts w:ascii="Arial" w:hAnsi="Arial" w:cs="Arial"/>
        </w:rPr>
        <w:t>11/</w:t>
      </w:r>
      <w:r w:rsidR="00845E93">
        <w:rPr>
          <w:rFonts w:ascii="Arial" w:hAnsi="Arial" w:cs="Arial"/>
        </w:rPr>
        <w:t>1</w:t>
      </w:r>
      <w:r w:rsidRPr="00C4578A">
        <w:rPr>
          <w:rFonts w:ascii="Arial" w:hAnsi="Arial" w:cs="Arial"/>
        </w:rPr>
        <w:t>/2011</w:t>
      </w:r>
      <w:r w:rsidRPr="00C4578A" w:rsidDel="00C4578A">
        <w:rPr>
          <w:rFonts w:ascii="Arial" w:hAnsi="Arial" w:cs="Arial"/>
        </w:rPr>
        <w:t xml:space="preserve"> </w:t>
      </w:r>
    </w:p>
    <w:p w:rsidR="00B724DA" w:rsidRPr="00C4578A" w:rsidRDefault="00B724DA">
      <w:pPr>
        <w:rPr>
          <w:rFonts w:ascii="Arial" w:hAnsi="Arial" w:cs="Arial"/>
        </w:rPr>
      </w:pPr>
      <w:r w:rsidRPr="00C4578A">
        <w:rPr>
          <w:rFonts w:ascii="Arial" w:hAnsi="Arial" w:cs="Arial"/>
        </w:rPr>
        <w:t xml:space="preserve">Revised and Approved </w:t>
      </w:r>
      <w:r w:rsidR="00C4578A" w:rsidRPr="00C4578A">
        <w:rPr>
          <w:rFonts w:ascii="Arial" w:hAnsi="Arial" w:cs="Arial"/>
        </w:rPr>
        <w:t>6/7/2011</w:t>
      </w:r>
      <w:r w:rsidR="00C4578A" w:rsidRPr="00C4578A" w:rsidDel="00C4578A">
        <w:rPr>
          <w:rFonts w:ascii="Arial" w:hAnsi="Arial" w:cs="Arial"/>
        </w:rPr>
        <w:t xml:space="preserve"> </w:t>
      </w:r>
    </w:p>
    <w:p w:rsidR="00B724DA" w:rsidRPr="00C4578A" w:rsidRDefault="00B724DA">
      <w:pPr>
        <w:rPr>
          <w:rFonts w:ascii="Arial" w:hAnsi="Arial" w:cs="Arial"/>
        </w:rPr>
      </w:pPr>
      <w:r w:rsidRPr="00C4578A">
        <w:rPr>
          <w:rFonts w:ascii="Arial" w:hAnsi="Arial" w:cs="Arial"/>
        </w:rPr>
        <w:t>Revised and Approved 10/5/2010</w:t>
      </w:r>
    </w:p>
    <w:p w:rsidR="00B724DA" w:rsidRPr="00C4578A" w:rsidRDefault="00B724DA">
      <w:pPr>
        <w:rPr>
          <w:rFonts w:ascii="Arial" w:hAnsi="Arial" w:cs="Arial"/>
        </w:rPr>
      </w:pPr>
      <w:r w:rsidRPr="00C4578A">
        <w:rPr>
          <w:rFonts w:ascii="Arial" w:hAnsi="Arial" w:cs="Arial"/>
        </w:rPr>
        <w:t>Revised and Approved 5/22/</w:t>
      </w:r>
      <w:r w:rsidR="00C4578A" w:rsidRPr="00C4578A">
        <w:rPr>
          <w:rFonts w:ascii="Arial" w:hAnsi="Arial" w:cs="Arial"/>
        </w:rPr>
        <w:t>20</w:t>
      </w:r>
      <w:r w:rsidRPr="00C4578A">
        <w:rPr>
          <w:rFonts w:ascii="Arial" w:hAnsi="Arial" w:cs="Arial"/>
        </w:rPr>
        <w:t>03</w:t>
      </w:r>
    </w:p>
    <w:p w:rsidR="00B724DA" w:rsidRDefault="00B724DA"/>
    <w:p w:rsidR="00B724DA" w:rsidRDefault="00B724DA"/>
    <w:p w:rsidR="00B724DA" w:rsidRDefault="00B724DA"/>
    <w:p w:rsidR="00B724DA" w:rsidRDefault="00B724DA"/>
    <w:sectPr w:rsidR="00B724DA">
      <w:footerReference w:type="even" r:id="rId9"/>
      <w:footerReference w:type="default" r:id="rId10"/>
      <w:footerReference w:type="first" r:id="rId11"/>
      <w:pgSz w:w="12240" w:h="15840" w:code="1"/>
      <w:pgMar w:top="1080" w:right="1440" w:bottom="1080" w:left="1440" w:header="720" w:footer="44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F72" w:rsidRDefault="001D5F72">
      <w:r>
        <w:separator/>
      </w:r>
    </w:p>
  </w:endnote>
  <w:endnote w:type="continuationSeparator" w:id="0">
    <w:p w:rsidR="001D5F72" w:rsidRDefault="001D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6D" w:rsidRDefault="00FB39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396D" w:rsidRDefault="00FB39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B18" w:rsidRPr="00057B18" w:rsidRDefault="00057B18" w:rsidP="00057B18">
    <w:pPr>
      <w:pStyle w:val="Footer"/>
      <w:jc w:val="right"/>
      <w:rPr>
        <w:i/>
        <w:u w:val="single"/>
      </w:rPr>
    </w:pPr>
  </w:p>
  <w:p w:rsidR="00FB396D" w:rsidRPr="00057B18" w:rsidRDefault="00057B18" w:rsidP="00057B18">
    <w:pPr>
      <w:pStyle w:val="Footer"/>
      <w:jc w:val="right"/>
      <w:rPr>
        <w:i/>
      </w:rPr>
    </w:pPr>
    <w:r w:rsidRPr="00057B18">
      <w:rPr>
        <w:i/>
      </w:rPr>
      <w:t>Community Foundation Sonoma County – Investment Policy</w:t>
    </w:r>
    <w:r w:rsidRPr="00057B18">
      <w:rPr>
        <w:i/>
      </w:rPr>
      <w:tab/>
    </w:r>
    <w:sdt>
      <w:sdtPr>
        <w:rPr>
          <w:i/>
        </w:rPr>
        <w:id w:val="565458113"/>
        <w:docPartObj>
          <w:docPartGallery w:val="Page Numbers (Bottom of Page)"/>
          <w:docPartUnique/>
        </w:docPartObj>
      </w:sdtPr>
      <w:sdtEndPr>
        <w:rPr>
          <w:noProof/>
        </w:rPr>
      </w:sdtEndPr>
      <w:sdtContent>
        <w:r w:rsidR="00FB396D" w:rsidRPr="00057B18">
          <w:rPr>
            <w:i/>
          </w:rPr>
          <w:fldChar w:fldCharType="begin"/>
        </w:r>
        <w:r w:rsidR="00FB396D" w:rsidRPr="00057B18">
          <w:rPr>
            <w:i/>
          </w:rPr>
          <w:instrText xml:space="preserve"> PAGE   \* MERGEFORMAT </w:instrText>
        </w:r>
        <w:r w:rsidR="00FB396D" w:rsidRPr="00057B18">
          <w:rPr>
            <w:i/>
          </w:rPr>
          <w:fldChar w:fldCharType="separate"/>
        </w:r>
        <w:r w:rsidR="00EF0B1F">
          <w:rPr>
            <w:i/>
            <w:noProof/>
          </w:rPr>
          <w:t>2</w:t>
        </w:r>
        <w:r w:rsidR="00FB396D" w:rsidRPr="00057B18">
          <w:rPr>
            <w:i/>
            <w:noProof/>
          </w:rPr>
          <w:fldChar w:fldCharType="end"/>
        </w:r>
      </w:sdtContent>
    </w:sdt>
    <w:r w:rsidRPr="00057B18">
      <w:rPr>
        <w:i/>
        <w:sz w:val="22"/>
        <w:szCs w:val="22"/>
      </w:rPr>
      <w:tab/>
    </w:r>
    <w:r w:rsidRPr="00057B18">
      <w:rPr>
        <w:i/>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6D" w:rsidRDefault="00FB396D">
    <w:pPr>
      <w:pStyle w:val="Footer"/>
      <w:jc w:val="right"/>
    </w:pPr>
  </w:p>
  <w:p w:rsidR="00FB396D" w:rsidRDefault="00FB3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F72" w:rsidRDefault="001D5F72">
      <w:r>
        <w:separator/>
      </w:r>
    </w:p>
  </w:footnote>
  <w:footnote w:type="continuationSeparator" w:id="0">
    <w:p w:rsidR="001D5F72" w:rsidRDefault="001D5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FC5256"/>
    <w:lvl w:ilvl="0">
      <w:start w:val="1"/>
      <w:numFmt w:val="decimal"/>
      <w:lvlText w:val="%1."/>
      <w:lvlJc w:val="left"/>
      <w:pPr>
        <w:tabs>
          <w:tab w:val="num" w:pos="1800"/>
        </w:tabs>
        <w:ind w:left="1800" w:hanging="360"/>
      </w:pPr>
    </w:lvl>
  </w:abstractNum>
  <w:abstractNum w:abstractNumId="1">
    <w:nsid w:val="FFFFFF7D"/>
    <w:multiLevelType w:val="singleLevel"/>
    <w:tmpl w:val="EC40DC8C"/>
    <w:lvl w:ilvl="0">
      <w:start w:val="1"/>
      <w:numFmt w:val="decimal"/>
      <w:lvlText w:val="%1."/>
      <w:lvlJc w:val="left"/>
      <w:pPr>
        <w:tabs>
          <w:tab w:val="num" w:pos="1440"/>
        </w:tabs>
        <w:ind w:left="1440" w:hanging="360"/>
      </w:pPr>
    </w:lvl>
  </w:abstractNum>
  <w:abstractNum w:abstractNumId="2">
    <w:nsid w:val="FFFFFF7E"/>
    <w:multiLevelType w:val="singleLevel"/>
    <w:tmpl w:val="AFC25AA0"/>
    <w:lvl w:ilvl="0">
      <w:start w:val="1"/>
      <w:numFmt w:val="decimal"/>
      <w:lvlText w:val="%1."/>
      <w:lvlJc w:val="left"/>
      <w:pPr>
        <w:tabs>
          <w:tab w:val="num" w:pos="1080"/>
        </w:tabs>
        <w:ind w:left="1080" w:hanging="360"/>
      </w:pPr>
    </w:lvl>
  </w:abstractNum>
  <w:abstractNum w:abstractNumId="3">
    <w:nsid w:val="FFFFFF7F"/>
    <w:multiLevelType w:val="singleLevel"/>
    <w:tmpl w:val="B9ACA72A"/>
    <w:lvl w:ilvl="0">
      <w:start w:val="1"/>
      <w:numFmt w:val="decimal"/>
      <w:lvlText w:val="%1."/>
      <w:lvlJc w:val="left"/>
      <w:pPr>
        <w:tabs>
          <w:tab w:val="num" w:pos="720"/>
        </w:tabs>
        <w:ind w:left="720" w:hanging="360"/>
      </w:pPr>
    </w:lvl>
  </w:abstractNum>
  <w:abstractNum w:abstractNumId="4">
    <w:nsid w:val="FFFFFF80"/>
    <w:multiLevelType w:val="singleLevel"/>
    <w:tmpl w:val="46DAA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B09D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54E5578"/>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F57AF698"/>
    <w:lvl w:ilvl="0">
      <w:start w:val="1"/>
      <w:numFmt w:val="decimal"/>
      <w:lvlText w:val="%1."/>
      <w:lvlJc w:val="left"/>
      <w:pPr>
        <w:tabs>
          <w:tab w:val="num" w:pos="360"/>
        </w:tabs>
        <w:ind w:left="360" w:hanging="360"/>
      </w:pPr>
    </w:lvl>
  </w:abstractNum>
  <w:abstractNum w:abstractNumId="8">
    <w:nsid w:val="FFFFFF89"/>
    <w:multiLevelType w:val="singleLevel"/>
    <w:tmpl w:val="146275E0"/>
    <w:lvl w:ilvl="0">
      <w:start w:val="1"/>
      <w:numFmt w:val="bullet"/>
      <w:lvlText w:val=""/>
      <w:lvlJc w:val="left"/>
      <w:pPr>
        <w:tabs>
          <w:tab w:val="num" w:pos="360"/>
        </w:tabs>
        <w:ind w:left="360" w:hanging="360"/>
      </w:pPr>
      <w:rPr>
        <w:rFonts w:ascii="Symbol" w:hAnsi="Symbol" w:hint="default"/>
      </w:rPr>
    </w:lvl>
  </w:abstractNum>
  <w:abstractNum w:abstractNumId="9">
    <w:nsid w:val="0BC1187E"/>
    <w:multiLevelType w:val="multilevel"/>
    <w:tmpl w:val="C56C6CBC"/>
    <w:lvl w:ilvl="0">
      <w:start w:val="1"/>
      <w:numFmt w:val="bullet"/>
      <w:lvlText w:val=""/>
      <w:lvlJc w:val="left"/>
      <w:pPr>
        <w:tabs>
          <w:tab w:val="num" w:pos="720"/>
        </w:tabs>
        <w:ind w:left="720" w:hanging="360"/>
      </w:pPr>
      <w:rPr>
        <w:rFonts w:ascii="Symbol" w:hAnsi="Symbol" w:hint="default"/>
        <w:color w:val="0054A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ECF50DD"/>
    <w:multiLevelType w:val="multilevel"/>
    <w:tmpl w:val="46EAEDA8"/>
    <w:lvl w:ilvl="0">
      <w:start w:val="1"/>
      <w:numFmt w:val="bullet"/>
      <w:lvlText w:val=""/>
      <w:lvlJc w:val="left"/>
      <w:pPr>
        <w:tabs>
          <w:tab w:val="num" w:pos="1080"/>
        </w:tabs>
        <w:ind w:left="1080" w:hanging="360"/>
      </w:pPr>
      <w:rPr>
        <w:rFonts w:ascii="Symbol" w:hAnsi="Symbol" w:hint="default"/>
        <w:color w:val="0000FF"/>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11687799"/>
    <w:multiLevelType w:val="hybridMultilevel"/>
    <w:tmpl w:val="E2682ABC"/>
    <w:lvl w:ilvl="0" w:tplc="270658A2">
      <w:start w:val="1"/>
      <w:numFmt w:val="bullet"/>
      <w:lvlText w:val=""/>
      <w:lvlJc w:val="left"/>
      <w:pPr>
        <w:tabs>
          <w:tab w:val="num" w:pos="1080"/>
        </w:tabs>
        <w:ind w:left="1080" w:hanging="360"/>
      </w:pPr>
      <w:rPr>
        <w:rFonts w:ascii="Symbol" w:hAnsi="Symbol" w:hint="default"/>
        <w:color w:val="0000FF"/>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71940DD"/>
    <w:multiLevelType w:val="hybridMultilevel"/>
    <w:tmpl w:val="3146AA00"/>
    <w:lvl w:ilvl="0" w:tplc="04090001">
      <w:start w:val="1"/>
      <w:numFmt w:val="bullet"/>
      <w:lvlText w:val=""/>
      <w:lvlJc w:val="left"/>
      <w:pPr>
        <w:tabs>
          <w:tab w:val="num" w:pos="720"/>
        </w:tabs>
        <w:ind w:left="720" w:hanging="360"/>
      </w:pPr>
      <w:rPr>
        <w:rFonts w:ascii="Symbol" w:hAnsi="Symbol" w:hint="default"/>
        <w:color w:val="0000FF"/>
      </w:rPr>
    </w:lvl>
    <w:lvl w:ilvl="1" w:tplc="D06C388E">
      <w:start w:val="1"/>
      <w:numFmt w:val="decimal"/>
      <w:lvlText w:val="%2."/>
      <w:lvlJc w:val="left"/>
      <w:pPr>
        <w:tabs>
          <w:tab w:val="num" w:pos="2160"/>
        </w:tabs>
        <w:ind w:left="2160" w:hanging="360"/>
      </w:pPr>
      <w:rPr>
        <w:rFont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nsid w:val="17792710"/>
    <w:multiLevelType w:val="hybridMultilevel"/>
    <w:tmpl w:val="7C92605C"/>
    <w:lvl w:ilvl="0" w:tplc="18C839A4">
      <w:start w:val="1"/>
      <w:numFmt w:val="bullet"/>
      <w:lvlText w:val=""/>
      <w:lvlJc w:val="left"/>
      <w:pPr>
        <w:tabs>
          <w:tab w:val="num" w:pos="720"/>
        </w:tabs>
        <w:ind w:left="720" w:hanging="360"/>
      </w:pPr>
      <w:rPr>
        <w:rFonts w:ascii="Symbol" w:hAnsi="Symbol" w:hint="default"/>
        <w:color w:val="0054A0"/>
      </w:rPr>
    </w:lvl>
    <w:lvl w:ilvl="1" w:tplc="A3C2EE60" w:tentative="1">
      <w:start w:val="1"/>
      <w:numFmt w:val="bullet"/>
      <w:lvlText w:val="o"/>
      <w:lvlJc w:val="left"/>
      <w:pPr>
        <w:tabs>
          <w:tab w:val="num" w:pos="1440"/>
        </w:tabs>
        <w:ind w:left="1440" w:hanging="360"/>
      </w:pPr>
      <w:rPr>
        <w:rFonts w:ascii="Courier New" w:hAnsi="Courier New" w:cs="Courier New" w:hint="default"/>
      </w:rPr>
    </w:lvl>
    <w:lvl w:ilvl="2" w:tplc="A2644484" w:tentative="1">
      <w:start w:val="1"/>
      <w:numFmt w:val="bullet"/>
      <w:lvlText w:val=""/>
      <w:lvlJc w:val="left"/>
      <w:pPr>
        <w:tabs>
          <w:tab w:val="num" w:pos="2160"/>
        </w:tabs>
        <w:ind w:left="2160" w:hanging="360"/>
      </w:pPr>
      <w:rPr>
        <w:rFonts w:ascii="Wingdings" w:hAnsi="Wingdings" w:hint="default"/>
      </w:rPr>
    </w:lvl>
    <w:lvl w:ilvl="3" w:tplc="E57C851E" w:tentative="1">
      <w:start w:val="1"/>
      <w:numFmt w:val="bullet"/>
      <w:lvlText w:val=""/>
      <w:lvlJc w:val="left"/>
      <w:pPr>
        <w:tabs>
          <w:tab w:val="num" w:pos="2880"/>
        </w:tabs>
        <w:ind w:left="2880" w:hanging="360"/>
      </w:pPr>
      <w:rPr>
        <w:rFonts w:ascii="Symbol" w:hAnsi="Symbol" w:hint="default"/>
      </w:rPr>
    </w:lvl>
    <w:lvl w:ilvl="4" w:tplc="607CCBF6" w:tentative="1">
      <w:start w:val="1"/>
      <w:numFmt w:val="bullet"/>
      <w:lvlText w:val="o"/>
      <w:lvlJc w:val="left"/>
      <w:pPr>
        <w:tabs>
          <w:tab w:val="num" w:pos="3600"/>
        </w:tabs>
        <w:ind w:left="3600" w:hanging="360"/>
      </w:pPr>
      <w:rPr>
        <w:rFonts w:ascii="Courier New" w:hAnsi="Courier New" w:cs="Courier New" w:hint="default"/>
      </w:rPr>
    </w:lvl>
    <w:lvl w:ilvl="5" w:tplc="17465BFC" w:tentative="1">
      <w:start w:val="1"/>
      <w:numFmt w:val="bullet"/>
      <w:lvlText w:val=""/>
      <w:lvlJc w:val="left"/>
      <w:pPr>
        <w:tabs>
          <w:tab w:val="num" w:pos="4320"/>
        </w:tabs>
        <w:ind w:left="4320" w:hanging="360"/>
      </w:pPr>
      <w:rPr>
        <w:rFonts w:ascii="Wingdings" w:hAnsi="Wingdings" w:hint="default"/>
      </w:rPr>
    </w:lvl>
    <w:lvl w:ilvl="6" w:tplc="6AD26AD6" w:tentative="1">
      <w:start w:val="1"/>
      <w:numFmt w:val="bullet"/>
      <w:lvlText w:val=""/>
      <w:lvlJc w:val="left"/>
      <w:pPr>
        <w:tabs>
          <w:tab w:val="num" w:pos="5040"/>
        </w:tabs>
        <w:ind w:left="5040" w:hanging="360"/>
      </w:pPr>
      <w:rPr>
        <w:rFonts w:ascii="Symbol" w:hAnsi="Symbol" w:hint="default"/>
      </w:rPr>
    </w:lvl>
    <w:lvl w:ilvl="7" w:tplc="EBAA730C" w:tentative="1">
      <w:start w:val="1"/>
      <w:numFmt w:val="bullet"/>
      <w:lvlText w:val="o"/>
      <w:lvlJc w:val="left"/>
      <w:pPr>
        <w:tabs>
          <w:tab w:val="num" w:pos="5760"/>
        </w:tabs>
        <w:ind w:left="5760" w:hanging="360"/>
      </w:pPr>
      <w:rPr>
        <w:rFonts w:ascii="Courier New" w:hAnsi="Courier New" w:cs="Courier New" w:hint="default"/>
      </w:rPr>
    </w:lvl>
    <w:lvl w:ilvl="8" w:tplc="2B4C6880" w:tentative="1">
      <w:start w:val="1"/>
      <w:numFmt w:val="bullet"/>
      <w:lvlText w:val=""/>
      <w:lvlJc w:val="left"/>
      <w:pPr>
        <w:tabs>
          <w:tab w:val="num" w:pos="6480"/>
        </w:tabs>
        <w:ind w:left="6480" w:hanging="360"/>
      </w:pPr>
      <w:rPr>
        <w:rFonts w:ascii="Wingdings" w:hAnsi="Wingdings" w:hint="default"/>
      </w:rPr>
    </w:lvl>
  </w:abstractNum>
  <w:abstractNum w:abstractNumId="14">
    <w:nsid w:val="18CF7448"/>
    <w:multiLevelType w:val="hybridMultilevel"/>
    <w:tmpl w:val="8AB8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B57BB9"/>
    <w:multiLevelType w:val="hybridMultilevel"/>
    <w:tmpl w:val="6D0020F6"/>
    <w:lvl w:ilvl="0" w:tplc="68423556">
      <w:start w:val="1"/>
      <w:numFmt w:val="bullet"/>
      <w:lvlText w:val=""/>
      <w:lvlJc w:val="left"/>
      <w:pPr>
        <w:tabs>
          <w:tab w:val="num" w:pos="720"/>
        </w:tabs>
        <w:ind w:left="720" w:hanging="360"/>
      </w:pPr>
      <w:rPr>
        <w:rFonts w:ascii="Symbol" w:hAnsi="Symbol" w:hint="default"/>
        <w:color w:val="0000FF"/>
      </w:rPr>
    </w:lvl>
    <w:lvl w:ilvl="1" w:tplc="D06C388E">
      <w:start w:val="1"/>
      <w:numFmt w:val="decimal"/>
      <w:lvlText w:val="%2."/>
      <w:lvlJc w:val="left"/>
      <w:pPr>
        <w:tabs>
          <w:tab w:val="num" w:pos="2160"/>
        </w:tabs>
        <w:ind w:left="2160" w:hanging="360"/>
      </w:pPr>
      <w:rPr>
        <w:rFont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nsid w:val="20162E47"/>
    <w:multiLevelType w:val="hybridMultilevel"/>
    <w:tmpl w:val="38C07566"/>
    <w:lvl w:ilvl="0" w:tplc="9D3CA8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923E5"/>
    <w:multiLevelType w:val="hybridMultilevel"/>
    <w:tmpl w:val="8D1851EA"/>
    <w:lvl w:ilvl="0" w:tplc="D3643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181EE7"/>
    <w:multiLevelType w:val="hybridMultilevel"/>
    <w:tmpl w:val="AF18BB54"/>
    <w:lvl w:ilvl="0" w:tplc="D760F6F6">
      <w:start w:val="1"/>
      <w:numFmt w:val="bullet"/>
      <w:pStyle w:val="ListBullet2"/>
      <w:lvlText w:val="»"/>
      <w:lvlJc w:val="left"/>
      <w:pPr>
        <w:tabs>
          <w:tab w:val="num" w:pos="720"/>
        </w:tabs>
        <w:ind w:left="720" w:hanging="360"/>
      </w:pPr>
      <w:rPr>
        <w:rFonts w:ascii="Arial" w:hAnsi="Arial" w:hint="default"/>
        <w:color w:val="EC202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89232C"/>
    <w:multiLevelType w:val="hybridMultilevel"/>
    <w:tmpl w:val="2DBAC85C"/>
    <w:lvl w:ilvl="0" w:tplc="04090001">
      <w:start w:val="1"/>
      <w:numFmt w:val="bullet"/>
      <w:lvlText w:val=""/>
      <w:lvlJc w:val="left"/>
      <w:pPr>
        <w:tabs>
          <w:tab w:val="num" w:pos="720"/>
        </w:tabs>
        <w:ind w:left="720" w:hanging="360"/>
      </w:pPr>
      <w:rPr>
        <w:rFonts w:ascii="Symbol" w:hAnsi="Symbol" w:hint="default"/>
        <w:color w:val="0000FF"/>
      </w:rPr>
    </w:lvl>
    <w:lvl w:ilvl="1" w:tplc="04090019">
      <w:start w:val="1"/>
      <w:numFmt w:val="bullet"/>
      <w:lvlText w:val=""/>
      <w:lvlJc w:val="left"/>
      <w:pPr>
        <w:tabs>
          <w:tab w:val="num" w:pos="2088"/>
        </w:tabs>
        <w:ind w:left="2088" w:hanging="432"/>
      </w:pPr>
      <w:rPr>
        <w:rFonts w:ascii="Symbol" w:hAnsi="Symbol" w:hint="default"/>
        <w:color w:val="0000FF"/>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nsid w:val="2E16370D"/>
    <w:multiLevelType w:val="hybridMultilevel"/>
    <w:tmpl w:val="539A9392"/>
    <w:lvl w:ilvl="0" w:tplc="993AB0EA">
      <w:start w:val="1"/>
      <w:numFmt w:val="bullet"/>
      <w:lvlText w:val=""/>
      <w:lvlJc w:val="left"/>
      <w:pPr>
        <w:tabs>
          <w:tab w:val="num" w:pos="720"/>
        </w:tabs>
        <w:ind w:left="720" w:hanging="360"/>
      </w:pPr>
      <w:rPr>
        <w:rFonts w:ascii="Symbol" w:hAnsi="Symbol" w:hint="default"/>
        <w:color w:val="0000FF"/>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368A0B43"/>
    <w:multiLevelType w:val="hybridMultilevel"/>
    <w:tmpl w:val="8F541E36"/>
    <w:lvl w:ilvl="0" w:tplc="04090001">
      <w:start w:val="1"/>
      <w:numFmt w:val="bullet"/>
      <w:lvlText w:val=""/>
      <w:lvlJc w:val="left"/>
      <w:pPr>
        <w:tabs>
          <w:tab w:val="num" w:pos="720"/>
        </w:tabs>
        <w:ind w:left="720" w:hanging="360"/>
      </w:pPr>
      <w:rPr>
        <w:rFonts w:ascii="Symbol" w:hAnsi="Symbol" w:hint="default"/>
        <w:color w:val="0000FF"/>
      </w:rPr>
    </w:lvl>
    <w:lvl w:ilvl="1" w:tplc="D06C388E">
      <w:start w:val="1"/>
      <w:numFmt w:val="decimal"/>
      <w:lvlText w:val="%2."/>
      <w:lvlJc w:val="left"/>
      <w:pPr>
        <w:tabs>
          <w:tab w:val="num" w:pos="2160"/>
        </w:tabs>
        <w:ind w:left="2160" w:hanging="360"/>
      </w:pPr>
      <w:rPr>
        <w:rFont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nsid w:val="39AD6D3D"/>
    <w:multiLevelType w:val="hybridMultilevel"/>
    <w:tmpl w:val="362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685CE4"/>
    <w:multiLevelType w:val="hybridMultilevel"/>
    <w:tmpl w:val="C56C6CBC"/>
    <w:lvl w:ilvl="0" w:tplc="A46071C8">
      <w:start w:val="1"/>
      <w:numFmt w:val="bullet"/>
      <w:lvlText w:val=""/>
      <w:lvlJc w:val="left"/>
      <w:pPr>
        <w:tabs>
          <w:tab w:val="num" w:pos="720"/>
        </w:tabs>
        <w:ind w:left="720" w:hanging="360"/>
      </w:pPr>
      <w:rPr>
        <w:rFonts w:ascii="Symbol" w:hAnsi="Symbol" w:hint="default"/>
        <w:color w:val="0054A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7D3880"/>
    <w:multiLevelType w:val="multilevel"/>
    <w:tmpl w:val="25A0EEDC"/>
    <w:lvl w:ilvl="0">
      <w:start w:val="1"/>
      <w:numFmt w:val="bullet"/>
      <w:lvlText w:val=""/>
      <w:lvlJc w:val="left"/>
      <w:pPr>
        <w:tabs>
          <w:tab w:val="num" w:pos="900"/>
        </w:tabs>
        <w:ind w:left="900" w:hanging="360"/>
      </w:pPr>
      <w:rPr>
        <w:rFonts w:ascii="Symbol" w:hAnsi="Symbol" w:hint="default"/>
        <w:color w:val="0000FF"/>
      </w:rPr>
    </w:lvl>
    <w:lvl w:ilvl="1">
      <w:start w:val="1"/>
      <w:numFmt w:val="bullet"/>
      <w:lvlText w:val=""/>
      <w:lvlJc w:val="left"/>
      <w:pPr>
        <w:tabs>
          <w:tab w:val="num" w:pos="2088"/>
        </w:tabs>
        <w:ind w:left="2088" w:hanging="432"/>
      </w:pPr>
      <w:rPr>
        <w:rFonts w:ascii="Symbol" w:hAnsi="Symbol" w:hint="default"/>
        <w:color w:val="0000FF"/>
      </w:r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5">
    <w:nsid w:val="43A720BF"/>
    <w:multiLevelType w:val="hybridMultilevel"/>
    <w:tmpl w:val="D892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647A41"/>
    <w:multiLevelType w:val="hybridMultilevel"/>
    <w:tmpl w:val="C69AA136"/>
    <w:lvl w:ilvl="0" w:tplc="800E3248">
      <w:start w:val="1"/>
      <w:numFmt w:val="bullet"/>
      <w:lvlText w:val=""/>
      <w:lvlJc w:val="left"/>
      <w:pPr>
        <w:tabs>
          <w:tab w:val="num" w:pos="720"/>
        </w:tabs>
        <w:ind w:left="720" w:hanging="360"/>
      </w:pPr>
      <w:rPr>
        <w:rFonts w:ascii="Symbol" w:hAnsi="Symbol" w:hint="default"/>
        <w:color w:val="0000FF"/>
      </w:rPr>
    </w:lvl>
    <w:lvl w:ilvl="1" w:tplc="04090019">
      <w:start w:val="1"/>
      <w:numFmt w:val="bullet"/>
      <w:lvlText w:val=""/>
      <w:lvlJc w:val="left"/>
      <w:pPr>
        <w:tabs>
          <w:tab w:val="num" w:pos="2088"/>
        </w:tabs>
        <w:ind w:left="2088" w:hanging="432"/>
      </w:pPr>
      <w:rPr>
        <w:rFonts w:ascii="Symbol" w:hAnsi="Symbol" w:hint="default"/>
        <w:color w:val="0000FF"/>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nsid w:val="49476794"/>
    <w:multiLevelType w:val="hybridMultilevel"/>
    <w:tmpl w:val="A9E4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BB4D24"/>
    <w:multiLevelType w:val="multilevel"/>
    <w:tmpl w:val="46EAEDA8"/>
    <w:lvl w:ilvl="0">
      <w:start w:val="1"/>
      <w:numFmt w:val="bullet"/>
      <w:lvlText w:val=""/>
      <w:lvlJc w:val="left"/>
      <w:pPr>
        <w:tabs>
          <w:tab w:val="num" w:pos="1080"/>
        </w:tabs>
        <w:ind w:left="1080" w:hanging="360"/>
      </w:pPr>
      <w:rPr>
        <w:rFonts w:ascii="Symbol" w:hAnsi="Symbol" w:hint="default"/>
        <w:color w:val="0000FF"/>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50855AA"/>
    <w:multiLevelType w:val="hybridMultilevel"/>
    <w:tmpl w:val="360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677F8C"/>
    <w:multiLevelType w:val="hybridMultilevel"/>
    <w:tmpl w:val="E9C4CA92"/>
    <w:lvl w:ilvl="0" w:tplc="04090001">
      <w:start w:val="1"/>
      <w:numFmt w:val="bullet"/>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2E5BFC"/>
    <w:multiLevelType w:val="multilevel"/>
    <w:tmpl w:val="E2682ABC"/>
    <w:lvl w:ilvl="0">
      <w:start w:val="1"/>
      <w:numFmt w:val="bullet"/>
      <w:lvlText w:val=""/>
      <w:lvlJc w:val="left"/>
      <w:pPr>
        <w:tabs>
          <w:tab w:val="num" w:pos="1080"/>
        </w:tabs>
        <w:ind w:left="1080" w:hanging="360"/>
      </w:pPr>
      <w:rPr>
        <w:rFonts w:ascii="Symbol" w:hAnsi="Symbol" w:hint="default"/>
        <w:color w:val="0000FF"/>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625C3227"/>
    <w:multiLevelType w:val="hybridMultilevel"/>
    <w:tmpl w:val="9DDE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039CA"/>
    <w:multiLevelType w:val="hybridMultilevel"/>
    <w:tmpl w:val="74CC53AE"/>
    <w:lvl w:ilvl="0" w:tplc="04090001">
      <w:start w:val="1"/>
      <w:numFmt w:val="bullet"/>
      <w:lvlText w:val=""/>
      <w:lvlJc w:val="left"/>
      <w:pPr>
        <w:tabs>
          <w:tab w:val="num" w:pos="720"/>
        </w:tabs>
        <w:ind w:left="720" w:hanging="360"/>
      </w:pPr>
      <w:rPr>
        <w:rFonts w:ascii="Symbol" w:hAnsi="Symbol" w:hint="default"/>
        <w:color w:val="0054A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3034FC"/>
    <w:multiLevelType w:val="hybridMultilevel"/>
    <w:tmpl w:val="AB2673BA"/>
    <w:lvl w:ilvl="0" w:tplc="270658A2">
      <w:start w:val="1"/>
      <w:numFmt w:val="decimal"/>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nsid w:val="686538BC"/>
    <w:multiLevelType w:val="multilevel"/>
    <w:tmpl w:val="0EA04AE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89566E5"/>
    <w:multiLevelType w:val="hybridMultilevel"/>
    <w:tmpl w:val="5AEA34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D692A5E"/>
    <w:multiLevelType w:val="hybridMultilevel"/>
    <w:tmpl w:val="0EA04A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DB2BAE"/>
    <w:multiLevelType w:val="hybridMultilevel"/>
    <w:tmpl w:val="DF4ACDD6"/>
    <w:lvl w:ilvl="0" w:tplc="04090001">
      <w:start w:val="1"/>
      <w:numFmt w:val="bullet"/>
      <w:lvlText w:val=""/>
      <w:lvlJc w:val="left"/>
      <w:pPr>
        <w:tabs>
          <w:tab w:val="num" w:pos="720"/>
        </w:tabs>
        <w:ind w:left="720" w:hanging="360"/>
      </w:pPr>
      <w:rPr>
        <w:rFonts w:ascii="Symbol" w:hAnsi="Symbol" w:hint="default"/>
        <w:color w:val="0000FF"/>
      </w:rPr>
    </w:lvl>
    <w:lvl w:ilvl="1" w:tplc="D06C388E">
      <w:start w:val="1"/>
      <w:numFmt w:val="decimal"/>
      <w:lvlText w:val="%2."/>
      <w:lvlJc w:val="left"/>
      <w:pPr>
        <w:tabs>
          <w:tab w:val="num" w:pos="2160"/>
        </w:tabs>
        <w:ind w:left="2160" w:hanging="360"/>
      </w:pPr>
      <w:rPr>
        <w:rFont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9">
    <w:nsid w:val="6F83506E"/>
    <w:multiLevelType w:val="hybridMultilevel"/>
    <w:tmpl w:val="A7D4F1A4"/>
    <w:lvl w:ilvl="0" w:tplc="860E4D20">
      <w:start w:val="1"/>
      <w:numFmt w:val="bullet"/>
      <w:lvlText w:val=""/>
      <w:lvlJc w:val="left"/>
      <w:pPr>
        <w:tabs>
          <w:tab w:val="num" w:pos="720"/>
        </w:tabs>
        <w:ind w:left="720" w:hanging="360"/>
      </w:pPr>
      <w:rPr>
        <w:rFonts w:ascii="Symbol" w:hAnsi="Symbol" w:hint="default"/>
        <w:color w:val="0000FF"/>
      </w:rPr>
    </w:lvl>
    <w:lvl w:ilvl="1" w:tplc="D06C388E">
      <w:start w:val="1"/>
      <w:numFmt w:val="decimal"/>
      <w:lvlText w:val="%2."/>
      <w:lvlJc w:val="left"/>
      <w:pPr>
        <w:tabs>
          <w:tab w:val="num" w:pos="2160"/>
        </w:tabs>
        <w:ind w:left="2160" w:hanging="360"/>
      </w:pPr>
      <w:rPr>
        <w:rFont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nsid w:val="72741219"/>
    <w:multiLevelType w:val="hybridMultilevel"/>
    <w:tmpl w:val="EF681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A70EF2"/>
    <w:multiLevelType w:val="hybridMultilevel"/>
    <w:tmpl w:val="25A0EEDC"/>
    <w:lvl w:ilvl="0" w:tplc="0409000F">
      <w:start w:val="1"/>
      <w:numFmt w:val="bullet"/>
      <w:lvlText w:val=""/>
      <w:lvlJc w:val="left"/>
      <w:pPr>
        <w:tabs>
          <w:tab w:val="num" w:pos="900"/>
        </w:tabs>
        <w:ind w:left="900" w:hanging="360"/>
      </w:pPr>
      <w:rPr>
        <w:rFonts w:ascii="Symbol" w:hAnsi="Symbol" w:hint="default"/>
        <w:color w:val="0000FF"/>
      </w:rPr>
    </w:lvl>
    <w:lvl w:ilvl="1" w:tplc="04090019">
      <w:start w:val="1"/>
      <w:numFmt w:val="bullet"/>
      <w:lvlText w:val=""/>
      <w:lvlJc w:val="left"/>
      <w:pPr>
        <w:tabs>
          <w:tab w:val="num" w:pos="2088"/>
        </w:tabs>
        <w:ind w:left="2088" w:hanging="432"/>
      </w:pPr>
      <w:rPr>
        <w:rFonts w:ascii="Symbol" w:hAnsi="Symbol" w:hint="default"/>
        <w:color w:val="0000FF"/>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2">
    <w:nsid w:val="75AD4A7F"/>
    <w:multiLevelType w:val="hybridMultilevel"/>
    <w:tmpl w:val="46EAEDA8"/>
    <w:lvl w:ilvl="0" w:tplc="D24E960A">
      <w:start w:val="1"/>
      <w:numFmt w:val="bullet"/>
      <w:lvlText w:val=""/>
      <w:lvlJc w:val="left"/>
      <w:pPr>
        <w:tabs>
          <w:tab w:val="num" w:pos="1080"/>
        </w:tabs>
        <w:ind w:left="1080" w:hanging="360"/>
      </w:pPr>
      <w:rPr>
        <w:rFonts w:ascii="Symbol" w:hAnsi="Symbol" w:hint="default"/>
        <w:color w:val="0000FF"/>
      </w:rPr>
    </w:lvl>
    <w:lvl w:ilvl="1" w:tplc="D06C388E">
      <w:start w:val="1"/>
      <w:numFmt w:val="decimal"/>
      <w:lvlText w:val="%2."/>
      <w:lvlJc w:val="left"/>
      <w:pPr>
        <w:tabs>
          <w:tab w:val="num" w:pos="2160"/>
        </w:tabs>
        <w:ind w:left="2160" w:hanging="360"/>
      </w:pPr>
      <w:rPr>
        <w:rFont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num w:numId="1">
    <w:abstractNumId w:val="36"/>
  </w:num>
  <w:num w:numId="2">
    <w:abstractNumId w:val="42"/>
  </w:num>
  <w:num w:numId="3">
    <w:abstractNumId w:val="41"/>
  </w:num>
  <w:num w:numId="4">
    <w:abstractNumId w:val="40"/>
  </w:num>
  <w:num w:numId="5">
    <w:abstractNumId w:val="18"/>
  </w:num>
  <w:num w:numId="6">
    <w:abstractNumId w:val="13"/>
  </w:num>
  <w:num w:numId="7">
    <w:abstractNumId w:val="34"/>
  </w:num>
  <w:num w:numId="8">
    <w:abstractNumId w:val="23"/>
  </w:num>
  <w:num w:numId="9">
    <w:abstractNumId w:val="30"/>
  </w:num>
  <w:num w:numId="10">
    <w:abstractNumId w:val="37"/>
  </w:num>
  <w:num w:numId="11">
    <w:abstractNumId w:val="9"/>
  </w:num>
  <w:num w:numId="12">
    <w:abstractNumId w:val="33"/>
  </w:num>
  <w:num w:numId="13">
    <w:abstractNumId w:val="11"/>
  </w:num>
  <w:num w:numId="14">
    <w:abstractNumId w:val="8"/>
  </w:num>
  <w:num w:numId="15">
    <w:abstractNumId w:val="6"/>
  </w:num>
  <w:num w:numId="16">
    <w:abstractNumId w:val="5"/>
  </w:num>
  <w:num w:numId="17">
    <w:abstractNumId w:val="4"/>
  </w:num>
  <w:num w:numId="18">
    <w:abstractNumId w:val="7"/>
  </w:num>
  <w:num w:numId="19">
    <w:abstractNumId w:val="3"/>
  </w:num>
  <w:num w:numId="20">
    <w:abstractNumId w:val="2"/>
  </w:num>
  <w:num w:numId="21">
    <w:abstractNumId w:val="1"/>
  </w:num>
  <w:num w:numId="22">
    <w:abstractNumId w:val="0"/>
  </w:num>
  <w:num w:numId="23">
    <w:abstractNumId w:val="35"/>
  </w:num>
  <w:num w:numId="24">
    <w:abstractNumId w:val="24"/>
  </w:num>
  <w:num w:numId="25">
    <w:abstractNumId w:val="26"/>
  </w:num>
  <w:num w:numId="26">
    <w:abstractNumId w:val="31"/>
  </w:num>
  <w:num w:numId="27">
    <w:abstractNumId w:val="20"/>
  </w:num>
  <w:num w:numId="28">
    <w:abstractNumId w:val="28"/>
  </w:num>
  <w:num w:numId="29">
    <w:abstractNumId w:val="15"/>
  </w:num>
  <w:num w:numId="30">
    <w:abstractNumId w:val="10"/>
  </w:num>
  <w:num w:numId="31">
    <w:abstractNumId w:val="39"/>
  </w:num>
  <w:num w:numId="32">
    <w:abstractNumId w:val="21"/>
  </w:num>
  <w:num w:numId="33">
    <w:abstractNumId w:val="38"/>
  </w:num>
  <w:num w:numId="34">
    <w:abstractNumId w:val="12"/>
  </w:num>
  <w:num w:numId="35">
    <w:abstractNumId w:val="19"/>
  </w:num>
  <w:num w:numId="36">
    <w:abstractNumId w:val="29"/>
  </w:num>
  <w:num w:numId="37">
    <w:abstractNumId w:val="32"/>
  </w:num>
  <w:num w:numId="38">
    <w:abstractNumId w:val="17"/>
  </w:num>
  <w:num w:numId="39">
    <w:abstractNumId w:val="14"/>
  </w:num>
  <w:num w:numId="40">
    <w:abstractNumId w:val="16"/>
  </w:num>
  <w:num w:numId="41">
    <w:abstractNumId w:val="27"/>
  </w:num>
  <w:num w:numId="42">
    <w:abstractNumId w:val="2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BC"/>
    <w:rsid w:val="000105CD"/>
    <w:rsid w:val="00057B18"/>
    <w:rsid w:val="00070B09"/>
    <w:rsid w:val="00073B7C"/>
    <w:rsid w:val="00083525"/>
    <w:rsid w:val="00153F92"/>
    <w:rsid w:val="00155820"/>
    <w:rsid w:val="001843A1"/>
    <w:rsid w:val="001B1AD1"/>
    <w:rsid w:val="001B468C"/>
    <w:rsid w:val="001D5F72"/>
    <w:rsid w:val="00237B30"/>
    <w:rsid w:val="00260637"/>
    <w:rsid w:val="002A20F3"/>
    <w:rsid w:val="002A6359"/>
    <w:rsid w:val="002C68EA"/>
    <w:rsid w:val="002E1A0D"/>
    <w:rsid w:val="00315CEA"/>
    <w:rsid w:val="0035565E"/>
    <w:rsid w:val="003A09EA"/>
    <w:rsid w:val="003D3DEF"/>
    <w:rsid w:val="004A7E56"/>
    <w:rsid w:val="004B33C8"/>
    <w:rsid w:val="004D5A1E"/>
    <w:rsid w:val="00572758"/>
    <w:rsid w:val="005A30A3"/>
    <w:rsid w:val="005B5BE3"/>
    <w:rsid w:val="006540FC"/>
    <w:rsid w:val="006A5E49"/>
    <w:rsid w:val="006B0811"/>
    <w:rsid w:val="006D00BC"/>
    <w:rsid w:val="006F7903"/>
    <w:rsid w:val="00784F4F"/>
    <w:rsid w:val="007C3BC3"/>
    <w:rsid w:val="007D3FF7"/>
    <w:rsid w:val="007D7086"/>
    <w:rsid w:val="00844852"/>
    <w:rsid w:val="00845E93"/>
    <w:rsid w:val="00846D64"/>
    <w:rsid w:val="00891E23"/>
    <w:rsid w:val="00892894"/>
    <w:rsid w:val="008A06B8"/>
    <w:rsid w:val="008F3F9F"/>
    <w:rsid w:val="0090421F"/>
    <w:rsid w:val="00A11920"/>
    <w:rsid w:val="00A25495"/>
    <w:rsid w:val="00A902C3"/>
    <w:rsid w:val="00AC0561"/>
    <w:rsid w:val="00AC2149"/>
    <w:rsid w:val="00AC7692"/>
    <w:rsid w:val="00AE00A9"/>
    <w:rsid w:val="00AE571D"/>
    <w:rsid w:val="00B13465"/>
    <w:rsid w:val="00B35AA4"/>
    <w:rsid w:val="00B724DA"/>
    <w:rsid w:val="00B94B4E"/>
    <w:rsid w:val="00BC2DF3"/>
    <w:rsid w:val="00BF004E"/>
    <w:rsid w:val="00C4578A"/>
    <w:rsid w:val="00C525A2"/>
    <w:rsid w:val="00C73995"/>
    <w:rsid w:val="00C7748F"/>
    <w:rsid w:val="00CA2A45"/>
    <w:rsid w:val="00CB3648"/>
    <w:rsid w:val="00D201A5"/>
    <w:rsid w:val="00D455C4"/>
    <w:rsid w:val="00DE016D"/>
    <w:rsid w:val="00E033D5"/>
    <w:rsid w:val="00E76B02"/>
    <w:rsid w:val="00EA521B"/>
    <w:rsid w:val="00EB180F"/>
    <w:rsid w:val="00EC04DA"/>
    <w:rsid w:val="00EF0B1F"/>
    <w:rsid w:val="00F206DE"/>
    <w:rsid w:val="00F21880"/>
    <w:rsid w:val="00FB396D"/>
    <w:rsid w:val="00FC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jc w:val="both"/>
      <w:outlineLvl w:val="0"/>
    </w:pPr>
    <w:rPr>
      <w:rFonts w:ascii="CG Times (W1)" w:eastAsia="PMingLiU" w:hAnsi="CG Times (W1)"/>
      <w:b/>
      <w:color w:val="0000FF"/>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firstindent">
    <w:name w:val="first indent"/>
    <w:basedOn w:val="Normal"/>
    <w:pPr>
      <w:keepNext/>
      <w:keepLines/>
      <w:ind w:left="216"/>
      <w:jc w:val="both"/>
    </w:pPr>
    <w:rPr>
      <w:rFonts w:ascii="CG Times (W1)" w:eastAsia="PMingLiU" w:hAnsi="CG Times (W1)"/>
      <w:szCs w:val="20"/>
    </w:rPr>
  </w:style>
  <w:style w:type="paragraph" w:styleId="TOC1">
    <w:name w:val="toc 1"/>
    <w:basedOn w:val="Normal"/>
    <w:next w:val="Normal"/>
    <w:autoRedefine/>
    <w:semiHidden/>
    <w:pPr>
      <w:keepNext/>
      <w:keepLines/>
      <w:tabs>
        <w:tab w:val="right" w:leader="dot" w:pos="9350"/>
      </w:tabs>
    </w:pPr>
    <w:rPr>
      <w:rFonts w:ascii="CG Times (W1)" w:eastAsia="PMingLiU" w:hAnsi="CG Times (W1)"/>
      <w:b/>
      <w:szCs w:val="20"/>
    </w:rPr>
  </w:style>
  <w:style w:type="paragraph" w:styleId="TOC2">
    <w:name w:val="toc 2"/>
    <w:basedOn w:val="Normal"/>
    <w:next w:val="Normal"/>
    <w:autoRedefine/>
    <w:semiHidden/>
    <w:pPr>
      <w:keepNext/>
      <w:keepLines/>
      <w:ind w:left="240"/>
      <w:jc w:val="both"/>
    </w:pPr>
    <w:rPr>
      <w:rFonts w:ascii="CG Times (W1)" w:eastAsia="PMingLiU" w:hAnsi="CG Times (W1)"/>
      <w:szCs w:val="20"/>
    </w:rPr>
  </w:style>
  <w:style w:type="character" w:styleId="Hyperlink">
    <w:name w:val="Hyperlink"/>
    <w:semiHidden/>
    <w:rPr>
      <w:color w:val="0000FF"/>
      <w:u w:val="single"/>
    </w:rPr>
  </w:style>
  <w:style w:type="paragraph" w:styleId="BodyText3">
    <w:name w:val="Body Text 3"/>
    <w:basedOn w:val="Normal"/>
    <w:semiHidden/>
    <w:pPr>
      <w:keepNext/>
      <w:keepLines/>
      <w:numPr>
        <w:ilvl w:val="12"/>
      </w:numPr>
      <w:tabs>
        <w:tab w:val="center" w:pos="-720"/>
        <w:tab w:val="left" w:pos="2520"/>
        <w:tab w:val="left" w:pos="4140"/>
        <w:tab w:val="center" w:pos="4680"/>
      </w:tabs>
      <w:suppressAutoHyphens/>
      <w:ind w:right="360"/>
      <w:jc w:val="both"/>
    </w:pPr>
    <w:rPr>
      <w:rFonts w:eastAsia="PMingLiU"/>
      <w:bCs/>
      <w:spacing w:val="-3"/>
      <w:szCs w:val="20"/>
    </w:rPr>
  </w:style>
  <w:style w:type="character" w:customStyle="1" w:styleId="Heading2Char">
    <w:name w:val="Heading 2 Char"/>
    <w:rPr>
      <w:rFonts w:ascii="CG Times (W1)" w:eastAsia="PMingLiU" w:hAnsi="CG Times (W1)"/>
      <w:b/>
      <w:sz w:val="24"/>
      <w:lang w:val="en-US"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StyleHeading1Black">
    <w:name w:val="Style Heading 1 + Black"/>
    <w:basedOn w:val="Heading1"/>
    <w:rPr>
      <w:rFonts w:ascii="Times New Roman" w:hAnsi="Times New Roman"/>
      <w:bCs/>
      <w:color w:val="000000"/>
      <w:u w:val="single"/>
    </w:rPr>
  </w:style>
  <w:style w:type="character" w:customStyle="1" w:styleId="CharChar1">
    <w:name w:val="Char Char1"/>
    <w:rPr>
      <w:rFonts w:ascii="Arial" w:hAnsi="Arial" w:cs="Arial"/>
      <w:b/>
      <w:bCs/>
      <w:i/>
      <w:iCs/>
      <w:sz w:val="28"/>
      <w:szCs w:val="28"/>
      <w:lang w:val="en-US" w:eastAsia="en-US" w:bidi="ar-SA"/>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Palatino Linotype" w:hAnsi="Palatino Linotype" w:cs="Palatino Linotype"/>
      <w:color w:val="000000"/>
      <w:sz w:val="24"/>
      <w:szCs w:val="24"/>
    </w:rPr>
  </w:style>
  <w:style w:type="character" w:customStyle="1" w:styleId="CharChar2">
    <w:name w:val="Char Char2"/>
    <w:rPr>
      <w:rFonts w:ascii="CG Times (W1)" w:eastAsia="PMingLiU" w:hAnsi="CG Times (W1)"/>
      <w:b/>
      <w:color w:val="0000FF"/>
      <w:sz w:val="24"/>
      <w:lang w:val="en-US" w:eastAsia="en-US" w:bidi="ar-SA"/>
    </w:rPr>
  </w:style>
  <w:style w:type="character" w:customStyle="1" w:styleId="StyleHeading1BlackChar">
    <w:name w:val="Style Heading 1 + Black Char"/>
    <w:rPr>
      <w:rFonts w:ascii="CG Times (W1)" w:eastAsia="PMingLiU" w:hAnsi="CG Times (W1)"/>
      <w:b/>
      <w:bCs/>
      <w:color w:val="000000"/>
      <w:sz w:val="24"/>
      <w:u w:val="single"/>
      <w:lang w:val="en-US" w:eastAsia="en-US" w:bidi="ar-SA"/>
    </w:rPr>
  </w:style>
  <w:style w:type="character" w:customStyle="1" w:styleId="googqs-tidbitgoogqs-tidbit-0">
    <w:name w:val="goog_qs-tidbit goog_qs-tidbit-0"/>
    <w:basedOn w:val="DefaultParagraphFont"/>
  </w:style>
  <w:style w:type="paragraph" w:styleId="ListBullet2">
    <w:name w:val="List Bullet 2"/>
    <w:basedOn w:val="Normal"/>
    <w:semiHidden/>
    <w:pPr>
      <w:numPr>
        <w:numId w:val="5"/>
      </w:numPr>
    </w:pPr>
  </w:style>
  <w:style w:type="paragraph" w:styleId="BodyText2">
    <w:name w:val="Body Text 2"/>
    <w:basedOn w:val="Normal"/>
    <w:semiHidden/>
    <w:pPr>
      <w:spacing w:after="120" w:line="480" w:lineRule="auto"/>
    </w:pPr>
  </w:style>
  <w:style w:type="character" w:customStyle="1" w:styleId="CharChar">
    <w:name w:val="Char Char"/>
    <w:rPr>
      <w:sz w:val="24"/>
      <w:szCs w:val="24"/>
    </w:rPr>
  </w:style>
  <w:style w:type="character" w:customStyle="1" w:styleId="Heading1Char">
    <w:name w:val="Heading 1 Char"/>
    <w:link w:val="Heading1"/>
    <w:rsid w:val="007D7086"/>
    <w:rPr>
      <w:rFonts w:ascii="CG Times (W1)" w:eastAsia="PMingLiU" w:hAnsi="CG Times (W1)"/>
      <w:b/>
      <w:color w:val="0000FF"/>
      <w:sz w:val="24"/>
    </w:rPr>
  </w:style>
  <w:style w:type="character" w:customStyle="1" w:styleId="FooterChar">
    <w:name w:val="Footer Char"/>
    <w:link w:val="Footer"/>
    <w:uiPriority w:val="99"/>
    <w:rsid w:val="006B0811"/>
    <w:rPr>
      <w:sz w:val="24"/>
      <w:szCs w:val="24"/>
    </w:rPr>
  </w:style>
  <w:style w:type="character" w:customStyle="1" w:styleId="HeaderChar">
    <w:name w:val="Header Char"/>
    <w:basedOn w:val="DefaultParagraphFont"/>
    <w:link w:val="Header"/>
    <w:uiPriority w:val="99"/>
    <w:rsid w:val="004A7E56"/>
    <w:rPr>
      <w:sz w:val="24"/>
      <w:szCs w:val="24"/>
    </w:rPr>
  </w:style>
  <w:style w:type="paragraph" w:styleId="NoSpacing">
    <w:name w:val="No Spacing"/>
    <w:uiPriority w:val="1"/>
    <w:qFormat/>
    <w:rsid w:val="003D3DE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jc w:val="both"/>
      <w:outlineLvl w:val="0"/>
    </w:pPr>
    <w:rPr>
      <w:rFonts w:ascii="CG Times (W1)" w:eastAsia="PMingLiU" w:hAnsi="CG Times (W1)"/>
      <w:b/>
      <w:color w:val="0000FF"/>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firstindent">
    <w:name w:val="first indent"/>
    <w:basedOn w:val="Normal"/>
    <w:pPr>
      <w:keepNext/>
      <w:keepLines/>
      <w:ind w:left="216"/>
      <w:jc w:val="both"/>
    </w:pPr>
    <w:rPr>
      <w:rFonts w:ascii="CG Times (W1)" w:eastAsia="PMingLiU" w:hAnsi="CG Times (W1)"/>
      <w:szCs w:val="20"/>
    </w:rPr>
  </w:style>
  <w:style w:type="paragraph" w:styleId="TOC1">
    <w:name w:val="toc 1"/>
    <w:basedOn w:val="Normal"/>
    <w:next w:val="Normal"/>
    <w:autoRedefine/>
    <w:semiHidden/>
    <w:pPr>
      <w:keepNext/>
      <w:keepLines/>
      <w:tabs>
        <w:tab w:val="right" w:leader="dot" w:pos="9350"/>
      </w:tabs>
    </w:pPr>
    <w:rPr>
      <w:rFonts w:ascii="CG Times (W1)" w:eastAsia="PMingLiU" w:hAnsi="CG Times (W1)"/>
      <w:b/>
      <w:szCs w:val="20"/>
    </w:rPr>
  </w:style>
  <w:style w:type="paragraph" w:styleId="TOC2">
    <w:name w:val="toc 2"/>
    <w:basedOn w:val="Normal"/>
    <w:next w:val="Normal"/>
    <w:autoRedefine/>
    <w:semiHidden/>
    <w:pPr>
      <w:keepNext/>
      <w:keepLines/>
      <w:ind w:left="240"/>
      <w:jc w:val="both"/>
    </w:pPr>
    <w:rPr>
      <w:rFonts w:ascii="CG Times (W1)" w:eastAsia="PMingLiU" w:hAnsi="CG Times (W1)"/>
      <w:szCs w:val="20"/>
    </w:rPr>
  </w:style>
  <w:style w:type="character" w:styleId="Hyperlink">
    <w:name w:val="Hyperlink"/>
    <w:semiHidden/>
    <w:rPr>
      <w:color w:val="0000FF"/>
      <w:u w:val="single"/>
    </w:rPr>
  </w:style>
  <w:style w:type="paragraph" w:styleId="BodyText3">
    <w:name w:val="Body Text 3"/>
    <w:basedOn w:val="Normal"/>
    <w:semiHidden/>
    <w:pPr>
      <w:keepNext/>
      <w:keepLines/>
      <w:numPr>
        <w:ilvl w:val="12"/>
      </w:numPr>
      <w:tabs>
        <w:tab w:val="center" w:pos="-720"/>
        <w:tab w:val="left" w:pos="2520"/>
        <w:tab w:val="left" w:pos="4140"/>
        <w:tab w:val="center" w:pos="4680"/>
      </w:tabs>
      <w:suppressAutoHyphens/>
      <w:ind w:right="360"/>
      <w:jc w:val="both"/>
    </w:pPr>
    <w:rPr>
      <w:rFonts w:eastAsia="PMingLiU"/>
      <w:bCs/>
      <w:spacing w:val="-3"/>
      <w:szCs w:val="20"/>
    </w:rPr>
  </w:style>
  <w:style w:type="character" w:customStyle="1" w:styleId="Heading2Char">
    <w:name w:val="Heading 2 Char"/>
    <w:rPr>
      <w:rFonts w:ascii="CG Times (W1)" w:eastAsia="PMingLiU" w:hAnsi="CG Times (W1)"/>
      <w:b/>
      <w:sz w:val="24"/>
      <w:lang w:val="en-US"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StyleHeading1Black">
    <w:name w:val="Style Heading 1 + Black"/>
    <w:basedOn w:val="Heading1"/>
    <w:rPr>
      <w:rFonts w:ascii="Times New Roman" w:hAnsi="Times New Roman"/>
      <w:bCs/>
      <w:color w:val="000000"/>
      <w:u w:val="single"/>
    </w:rPr>
  </w:style>
  <w:style w:type="character" w:customStyle="1" w:styleId="CharChar1">
    <w:name w:val="Char Char1"/>
    <w:rPr>
      <w:rFonts w:ascii="Arial" w:hAnsi="Arial" w:cs="Arial"/>
      <w:b/>
      <w:bCs/>
      <w:i/>
      <w:iCs/>
      <w:sz w:val="28"/>
      <w:szCs w:val="28"/>
      <w:lang w:val="en-US" w:eastAsia="en-US" w:bidi="ar-SA"/>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Palatino Linotype" w:hAnsi="Palatino Linotype" w:cs="Palatino Linotype"/>
      <w:color w:val="000000"/>
      <w:sz w:val="24"/>
      <w:szCs w:val="24"/>
    </w:rPr>
  </w:style>
  <w:style w:type="character" w:customStyle="1" w:styleId="CharChar2">
    <w:name w:val="Char Char2"/>
    <w:rPr>
      <w:rFonts w:ascii="CG Times (W1)" w:eastAsia="PMingLiU" w:hAnsi="CG Times (W1)"/>
      <w:b/>
      <w:color w:val="0000FF"/>
      <w:sz w:val="24"/>
      <w:lang w:val="en-US" w:eastAsia="en-US" w:bidi="ar-SA"/>
    </w:rPr>
  </w:style>
  <w:style w:type="character" w:customStyle="1" w:styleId="StyleHeading1BlackChar">
    <w:name w:val="Style Heading 1 + Black Char"/>
    <w:rPr>
      <w:rFonts w:ascii="CG Times (W1)" w:eastAsia="PMingLiU" w:hAnsi="CG Times (W1)"/>
      <w:b/>
      <w:bCs/>
      <w:color w:val="000000"/>
      <w:sz w:val="24"/>
      <w:u w:val="single"/>
      <w:lang w:val="en-US" w:eastAsia="en-US" w:bidi="ar-SA"/>
    </w:rPr>
  </w:style>
  <w:style w:type="character" w:customStyle="1" w:styleId="googqs-tidbitgoogqs-tidbit-0">
    <w:name w:val="goog_qs-tidbit goog_qs-tidbit-0"/>
    <w:basedOn w:val="DefaultParagraphFont"/>
  </w:style>
  <w:style w:type="paragraph" w:styleId="ListBullet2">
    <w:name w:val="List Bullet 2"/>
    <w:basedOn w:val="Normal"/>
    <w:semiHidden/>
    <w:pPr>
      <w:numPr>
        <w:numId w:val="5"/>
      </w:numPr>
    </w:pPr>
  </w:style>
  <w:style w:type="paragraph" w:styleId="BodyText2">
    <w:name w:val="Body Text 2"/>
    <w:basedOn w:val="Normal"/>
    <w:semiHidden/>
    <w:pPr>
      <w:spacing w:after="120" w:line="480" w:lineRule="auto"/>
    </w:pPr>
  </w:style>
  <w:style w:type="character" w:customStyle="1" w:styleId="CharChar">
    <w:name w:val="Char Char"/>
    <w:rPr>
      <w:sz w:val="24"/>
      <w:szCs w:val="24"/>
    </w:rPr>
  </w:style>
  <w:style w:type="character" w:customStyle="1" w:styleId="Heading1Char">
    <w:name w:val="Heading 1 Char"/>
    <w:link w:val="Heading1"/>
    <w:rsid w:val="007D7086"/>
    <w:rPr>
      <w:rFonts w:ascii="CG Times (W1)" w:eastAsia="PMingLiU" w:hAnsi="CG Times (W1)"/>
      <w:b/>
      <w:color w:val="0000FF"/>
      <w:sz w:val="24"/>
    </w:rPr>
  </w:style>
  <w:style w:type="character" w:customStyle="1" w:styleId="FooterChar">
    <w:name w:val="Footer Char"/>
    <w:link w:val="Footer"/>
    <w:uiPriority w:val="99"/>
    <w:rsid w:val="006B0811"/>
    <w:rPr>
      <w:sz w:val="24"/>
      <w:szCs w:val="24"/>
    </w:rPr>
  </w:style>
  <w:style w:type="character" w:customStyle="1" w:styleId="HeaderChar">
    <w:name w:val="Header Char"/>
    <w:basedOn w:val="DefaultParagraphFont"/>
    <w:link w:val="Header"/>
    <w:uiPriority w:val="99"/>
    <w:rsid w:val="004A7E56"/>
    <w:rPr>
      <w:sz w:val="24"/>
      <w:szCs w:val="24"/>
    </w:rPr>
  </w:style>
  <w:style w:type="paragraph" w:styleId="NoSpacing">
    <w:name w:val="No Spacing"/>
    <w:uiPriority w:val="1"/>
    <w:qFormat/>
    <w:rsid w:val="003D3DE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DRAFT</vt:lpstr>
    </vt:vector>
  </TitlesOfParts>
  <Company>Hewlett-Packard Company</Company>
  <LinksUpToDate>false</LinksUpToDate>
  <CharactersWithSpaces>23006</CharactersWithSpaces>
  <SharedDoc>false</SharedDoc>
  <HLinks>
    <vt:vector size="6" baseType="variant">
      <vt:variant>
        <vt:i4>4325446</vt:i4>
      </vt:variant>
      <vt:variant>
        <vt:i4>-1</vt:i4>
      </vt:variant>
      <vt:variant>
        <vt:i4>1029</vt:i4>
      </vt:variant>
      <vt:variant>
        <vt:i4>1</vt:i4>
      </vt:variant>
      <vt:variant>
        <vt:lpwstr>http://www.posimages.org/images/logo-community-foundation.jpg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Barbara Brenner Buder</dc:creator>
  <cp:lastModifiedBy>Lenovo User</cp:lastModifiedBy>
  <cp:revision>3</cp:revision>
  <cp:lastPrinted>2011-03-08T03:31:00Z</cp:lastPrinted>
  <dcterms:created xsi:type="dcterms:W3CDTF">2013-02-14T23:55:00Z</dcterms:created>
  <dcterms:modified xsi:type="dcterms:W3CDTF">2013-02-14T23:56:00Z</dcterms:modified>
</cp:coreProperties>
</file>